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94D4A">
      <w:pPr>
        <w:pStyle w:val="9"/>
        <w:rPr>
          <w:rFonts w:ascii="仿宋" w:hAnsi="仿宋" w:eastAsia="仿宋" w:cs="仿宋"/>
          <w:lang w:bidi="ar-SA"/>
        </w:rPr>
      </w:pPr>
      <w:bookmarkStart w:id="0" w:name="bookmark6"/>
      <w:bookmarkStart w:id="1" w:name="bookmark7"/>
      <w:bookmarkStart w:id="2" w:name="bookmark9"/>
    </w:p>
    <w:p w14:paraId="0441C565">
      <w:pPr>
        <w:pStyle w:val="9"/>
        <w:rPr>
          <w:rFonts w:ascii="仿宋" w:hAnsi="仿宋" w:eastAsia="仿宋" w:cs="仿宋"/>
          <w:lang w:bidi="ar-SA"/>
        </w:rPr>
      </w:pPr>
    </w:p>
    <w:p w14:paraId="3CF27D1A">
      <w:pPr>
        <w:pStyle w:val="6"/>
        <w:spacing w:before="120" w:after="120" w:line="360" w:lineRule="auto"/>
        <w:outlineLvl w:val="9"/>
        <w:rPr>
          <w:rFonts w:ascii="仿宋" w:hAnsi="仿宋" w:eastAsia="仿宋" w:cs="仿宋"/>
          <w:bCs w:val="0"/>
          <w:sz w:val="48"/>
          <w:szCs w:val="72"/>
        </w:rPr>
      </w:pPr>
    </w:p>
    <w:p w14:paraId="154FEF9B">
      <w:pPr>
        <w:rPr>
          <w:rFonts w:ascii="仿宋" w:hAnsi="仿宋" w:eastAsia="仿宋" w:cs="仿宋"/>
          <w:sz w:val="48"/>
          <w:szCs w:val="72"/>
        </w:rPr>
      </w:pPr>
    </w:p>
    <w:p w14:paraId="45E02EA8">
      <w:pPr>
        <w:pStyle w:val="6"/>
        <w:spacing w:before="120" w:after="120" w:line="360" w:lineRule="auto"/>
        <w:outlineLvl w:val="9"/>
        <w:rPr>
          <w:rFonts w:ascii="仿宋" w:hAnsi="仿宋" w:eastAsia="仿宋" w:cs="仿宋"/>
          <w:bCs w:val="0"/>
          <w:sz w:val="48"/>
          <w:szCs w:val="72"/>
        </w:rPr>
      </w:pPr>
    </w:p>
    <w:p w14:paraId="42885CEF">
      <w:pPr>
        <w:spacing w:beforeLines="50" w:afterLines="50" w:line="480" w:lineRule="auto"/>
        <w:jc w:val="center"/>
        <w:outlineLvl w:val="0"/>
        <w:rPr>
          <w:rFonts w:ascii="仿宋" w:hAnsi="仿宋" w:eastAsia="仿宋" w:cs="仿宋"/>
          <w:b/>
          <w:bCs/>
          <w:kern w:val="0"/>
          <w:sz w:val="48"/>
          <w:szCs w:val="48"/>
        </w:rPr>
      </w:pPr>
      <w:r>
        <w:rPr>
          <w:rFonts w:hint="eastAsia" w:ascii="仿宋" w:hAnsi="仿宋" w:eastAsia="仿宋" w:cs="仿宋"/>
          <w:b/>
          <w:bCs/>
          <w:kern w:val="0"/>
          <w:sz w:val="48"/>
          <w:szCs w:val="48"/>
        </w:rPr>
        <w:t>邯郸市生态环境准入清单</w:t>
      </w:r>
    </w:p>
    <w:p w14:paraId="54BBD776">
      <w:pPr>
        <w:spacing w:beforeLines="50" w:afterLines="50" w:line="480" w:lineRule="auto"/>
        <w:jc w:val="center"/>
        <w:outlineLvl w:val="0"/>
        <w:rPr>
          <w:rFonts w:ascii="仿宋" w:hAnsi="仿宋" w:eastAsia="仿宋" w:cs="仿宋"/>
          <w:b/>
          <w:bCs/>
          <w:kern w:val="0"/>
          <w:sz w:val="48"/>
          <w:szCs w:val="48"/>
        </w:rPr>
      </w:pPr>
      <w:r>
        <w:rPr>
          <w:rFonts w:hint="eastAsia" w:ascii="仿宋" w:hAnsi="仿宋" w:eastAsia="仿宋" w:cs="仿宋"/>
          <w:b/>
          <w:bCs/>
          <w:kern w:val="0"/>
          <w:sz w:val="48"/>
          <w:szCs w:val="48"/>
        </w:rPr>
        <w:t>(202</w:t>
      </w:r>
      <w:r>
        <w:rPr>
          <w:rFonts w:hint="eastAsia" w:ascii="仿宋" w:hAnsi="仿宋" w:eastAsia="仿宋" w:cs="仿宋"/>
          <w:b/>
          <w:bCs/>
          <w:kern w:val="0"/>
          <w:sz w:val="48"/>
          <w:szCs w:val="48"/>
          <w:lang w:val="en-US" w:eastAsia="zh-CN"/>
        </w:rPr>
        <w:t>5</w:t>
      </w:r>
      <w:r>
        <w:rPr>
          <w:rFonts w:hint="eastAsia" w:ascii="仿宋" w:hAnsi="仿宋" w:eastAsia="仿宋" w:cs="仿宋"/>
          <w:b/>
          <w:bCs/>
          <w:kern w:val="0"/>
          <w:sz w:val="48"/>
          <w:szCs w:val="48"/>
        </w:rPr>
        <w:t>年版)</w:t>
      </w:r>
    </w:p>
    <w:p w14:paraId="402FE785">
      <w:pPr>
        <w:pStyle w:val="2"/>
        <w:ind w:firstLine="0" w:firstLineChars="0"/>
        <w:jc w:val="center"/>
        <w:rPr>
          <w:rFonts w:ascii="仿宋" w:hAnsi="仿宋" w:eastAsia="仿宋" w:cs="仿宋"/>
          <w:sz w:val="16"/>
          <w:szCs w:val="18"/>
        </w:rPr>
      </w:pPr>
    </w:p>
    <w:p w14:paraId="001ED42F">
      <w:pPr>
        <w:pStyle w:val="6"/>
        <w:spacing w:before="0" w:after="0"/>
        <w:outlineLvl w:val="9"/>
        <w:rPr>
          <w:rFonts w:ascii="仿宋" w:hAnsi="仿宋" w:eastAsia="仿宋" w:cs="仿宋"/>
          <w:sz w:val="32"/>
          <w:szCs w:val="24"/>
        </w:rPr>
      </w:pPr>
    </w:p>
    <w:p w14:paraId="6CFD2925">
      <w:pPr>
        <w:pStyle w:val="10"/>
        <w:ind w:left="0" w:leftChars="0" w:firstLine="0" w:firstLineChars="0"/>
        <w:rPr>
          <w:rFonts w:ascii="仿宋" w:hAnsi="仿宋" w:eastAsia="仿宋" w:cs="仿宋"/>
        </w:rPr>
      </w:pPr>
    </w:p>
    <w:p w14:paraId="4252EB12">
      <w:pPr>
        <w:pStyle w:val="10"/>
        <w:ind w:left="0" w:leftChars="0" w:firstLine="0" w:firstLineChars="0"/>
        <w:rPr>
          <w:rFonts w:ascii="仿宋" w:hAnsi="仿宋" w:eastAsia="仿宋" w:cs="仿宋"/>
        </w:rPr>
      </w:pPr>
    </w:p>
    <w:p w14:paraId="29217138">
      <w:pPr>
        <w:pStyle w:val="10"/>
        <w:rPr>
          <w:rFonts w:ascii="仿宋" w:hAnsi="仿宋" w:eastAsia="仿宋" w:cs="仿宋"/>
        </w:rPr>
      </w:pPr>
    </w:p>
    <w:p w14:paraId="3EA8E8DE">
      <w:pPr>
        <w:pStyle w:val="10"/>
        <w:rPr>
          <w:rFonts w:ascii="仿宋" w:hAnsi="仿宋" w:eastAsia="仿宋" w:cs="仿宋"/>
        </w:rPr>
      </w:pPr>
    </w:p>
    <w:p w14:paraId="799CBCB3">
      <w:pPr>
        <w:pStyle w:val="10"/>
        <w:rPr>
          <w:rFonts w:ascii="仿宋" w:hAnsi="仿宋" w:eastAsia="仿宋" w:cs="仿宋"/>
        </w:rPr>
      </w:pPr>
    </w:p>
    <w:p w14:paraId="183E2C4E">
      <w:pPr>
        <w:pStyle w:val="10"/>
        <w:rPr>
          <w:rFonts w:ascii="仿宋" w:hAnsi="仿宋" w:eastAsia="仿宋" w:cs="仿宋"/>
        </w:rPr>
      </w:pPr>
    </w:p>
    <w:p w14:paraId="75DA5AE6">
      <w:pPr>
        <w:pStyle w:val="10"/>
        <w:rPr>
          <w:rFonts w:ascii="仿宋" w:hAnsi="仿宋" w:eastAsia="仿宋" w:cs="仿宋"/>
        </w:rPr>
      </w:pPr>
    </w:p>
    <w:p w14:paraId="7BA6FF57">
      <w:pPr>
        <w:pStyle w:val="10"/>
        <w:rPr>
          <w:rFonts w:ascii="仿宋" w:hAnsi="仿宋" w:eastAsia="仿宋" w:cs="仿宋"/>
        </w:rPr>
      </w:pPr>
    </w:p>
    <w:p w14:paraId="10236114">
      <w:pPr>
        <w:pStyle w:val="10"/>
        <w:rPr>
          <w:rFonts w:ascii="仿宋" w:hAnsi="仿宋" w:eastAsia="仿宋" w:cs="仿宋"/>
        </w:rPr>
      </w:pPr>
    </w:p>
    <w:p w14:paraId="4EEFC1C9">
      <w:pPr>
        <w:pStyle w:val="10"/>
        <w:rPr>
          <w:rFonts w:ascii="仿宋" w:hAnsi="仿宋" w:eastAsia="仿宋" w:cs="仿宋"/>
        </w:rPr>
      </w:pPr>
    </w:p>
    <w:p w14:paraId="7D820E29">
      <w:pPr>
        <w:pStyle w:val="10"/>
        <w:rPr>
          <w:rFonts w:ascii="仿宋" w:hAnsi="仿宋" w:eastAsia="仿宋" w:cs="仿宋"/>
        </w:rPr>
      </w:pPr>
    </w:p>
    <w:p w14:paraId="7EA7AD65">
      <w:pPr>
        <w:pStyle w:val="10"/>
        <w:rPr>
          <w:rFonts w:ascii="仿宋" w:hAnsi="仿宋" w:eastAsia="仿宋" w:cs="仿宋"/>
        </w:rPr>
      </w:pPr>
    </w:p>
    <w:p w14:paraId="558B69DE">
      <w:pPr>
        <w:pStyle w:val="10"/>
        <w:rPr>
          <w:rFonts w:ascii="仿宋" w:hAnsi="仿宋" w:eastAsia="仿宋" w:cs="仿宋"/>
        </w:rPr>
      </w:pPr>
    </w:p>
    <w:p w14:paraId="7F491C7A">
      <w:pPr>
        <w:widowControl/>
        <w:wordWrap w:val="0"/>
        <w:spacing w:before="240"/>
        <w:jc w:val="center"/>
        <w:rPr>
          <w:rFonts w:ascii="仿宋" w:hAnsi="仿宋" w:eastAsia="仿宋" w:cs="仿宋"/>
          <w:b/>
          <w:bCs/>
          <w:kern w:val="0"/>
          <w:sz w:val="36"/>
          <w:szCs w:val="44"/>
        </w:rPr>
      </w:pPr>
      <w:r>
        <w:rPr>
          <w:rFonts w:hint="eastAsia" w:ascii="仿宋" w:hAnsi="仿宋" w:eastAsia="仿宋" w:cs="仿宋"/>
          <w:b/>
          <w:bCs/>
          <w:kern w:val="0"/>
          <w:sz w:val="36"/>
          <w:szCs w:val="44"/>
        </w:rPr>
        <w:t>二〇二</w:t>
      </w:r>
      <w:r>
        <w:rPr>
          <w:rFonts w:hint="eastAsia" w:ascii="仿宋" w:hAnsi="仿宋" w:eastAsia="仿宋" w:cs="仿宋"/>
          <w:b/>
          <w:bCs/>
          <w:kern w:val="0"/>
          <w:sz w:val="36"/>
          <w:szCs w:val="44"/>
          <w:lang w:val="en-US" w:eastAsia="zh-CN"/>
        </w:rPr>
        <w:t>五</w:t>
      </w:r>
      <w:r>
        <w:rPr>
          <w:rFonts w:hint="eastAsia" w:ascii="仿宋" w:hAnsi="仿宋" w:eastAsia="仿宋" w:cs="仿宋"/>
          <w:b/>
          <w:bCs/>
          <w:kern w:val="0"/>
          <w:sz w:val="36"/>
          <w:szCs w:val="44"/>
        </w:rPr>
        <w:t>年</w:t>
      </w:r>
      <w:r>
        <w:rPr>
          <w:rFonts w:hint="eastAsia" w:ascii="仿宋" w:hAnsi="仿宋" w:eastAsia="仿宋" w:cs="仿宋"/>
          <w:b/>
          <w:bCs/>
          <w:kern w:val="0"/>
          <w:sz w:val="36"/>
          <w:szCs w:val="44"/>
          <w:lang w:val="en-US" w:eastAsia="zh-CN"/>
        </w:rPr>
        <w:t>四</w:t>
      </w:r>
      <w:r>
        <w:rPr>
          <w:rFonts w:hint="eastAsia" w:ascii="仿宋" w:hAnsi="仿宋" w:eastAsia="仿宋" w:cs="仿宋"/>
          <w:b/>
          <w:bCs/>
          <w:kern w:val="0"/>
          <w:sz w:val="36"/>
          <w:szCs w:val="44"/>
        </w:rPr>
        <w:t>月</w:t>
      </w:r>
    </w:p>
    <w:p w14:paraId="48CBC50B">
      <w:pPr>
        <w:widowControl/>
        <w:wordWrap w:val="0"/>
        <w:spacing w:before="240"/>
        <w:jc w:val="center"/>
        <w:rPr>
          <w:rFonts w:ascii="仿宋" w:hAnsi="仿宋" w:eastAsia="仿宋" w:cs="仿宋"/>
          <w:b/>
          <w:bCs/>
          <w:kern w:val="0"/>
          <w:sz w:val="36"/>
          <w:szCs w:val="44"/>
          <w:lang w:val="zh-CN"/>
        </w:rPr>
        <w:sectPr>
          <w:footerReference r:id="rId3" w:type="default"/>
          <w:pgSz w:w="11906" w:h="16838"/>
          <w:pgMar w:top="1440" w:right="1800" w:bottom="1440" w:left="1800" w:header="851" w:footer="992" w:gutter="0"/>
          <w:pgNumType w:start="1"/>
          <w:cols w:space="720" w:num="1"/>
          <w:docGrid w:type="lines" w:linePitch="312" w:charSpace="0"/>
        </w:sectPr>
      </w:pPr>
    </w:p>
    <w:bookmarkEnd w:id="0"/>
    <w:bookmarkEnd w:id="1"/>
    <w:bookmarkEnd w:id="2"/>
    <w:p w14:paraId="11E51BFA">
      <w:pPr>
        <w:pStyle w:val="10"/>
        <w:ind w:left="0" w:leftChars="0" w:firstLine="640" w:firstLineChars="200"/>
        <w:jc w:val="left"/>
        <w:outlineLvl w:val="0"/>
        <w:rPr>
          <w:rFonts w:ascii="仿宋" w:hAnsi="仿宋" w:eastAsia="仿宋" w:cs="仿宋"/>
          <w:sz w:val="32"/>
          <w:szCs w:val="32"/>
        </w:rPr>
      </w:pPr>
      <w:r>
        <w:rPr>
          <w:rFonts w:hint="eastAsia" w:ascii="仿宋" w:hAnsi="仿宋" w:eastAsia="仿宋" w:cs="仿宋"/>
          <w:sz w:val="32"/>
          <w:szCs w:val="32"/>
        </w:rPr>
        <w:t>一、邯郸市生态环境总体管控要求</w:t>
      </w:r>
    </w:p>
    <w:p w14:paraId="45D7DCFC">
      <w:pPr>
        <w:pStyle w:val="10"/>
        <w:numPr>
          <w:ilvl w:val="1"/>
          <w:numId w:val="0"/>
        </w:numPr>
        <w:ind w:firstLine="640" w:firstLineChars="200"/>
        <w:outlineLvl w:val="1"/>
        <w:rPr>
          <w:rFonts w:ascii="仿宋" w:hAnsi="仿宋" w:eastAsia="仿宋" w:cs="仿宋"/>
          <w:bCs/>
          <w:sz w:val="32"/>
          <w:szCs w:val="18"/>
        </w:rPr>
      </w:pPr>
      <w:r>
        <w:rPr>
          <w:rFonts w:hint="eastAsia" w:ascii="仿宋" w:hAnsi="仿宋" w:eastAsia="仿宋" w:cs="仿宋"/>
          <w:bCs/>
          <w:sz w:val="32"/>
          <w:szCs w:val="18"/>
        </w:rPr>
        <w:t>（一）全市生态空间总体管控要求</w:t>
      </w:r>
    </w:p>
    <w:p w14:paraId="2AC77155">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表1.1   </w:t>
      </w:r>
      <w:r>
        <w:rPr>
          <w:rFonts w:hint="eastAsia" w:ascii="仿宋" w:hAnsi="仿宋" w:eastAsia="仿宋" w:cs="仿宋"/>
          <w:b/>
          <w:bCs/>
          <w:sz w:val="32"/>
          <w:szCs w:val="32"/>
        </w:rPr>
        <w:t xml:space="preserve">  全市生态空间总体管控要求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317"/>
        <w:gridCol w:w="355"/>
        <w:gridCol w:w="371"/>
        <w:gridCol w:w="828"/>
        <w:gridCol w:w="5763"/>
        <w:gridCol w:w="1267"/>
      </w:tblGrid>
      <w:tr w14:paraId="294C3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672" w:type="dxa"/>
            <w:gridSpan w:val="2"/>
            <w:shd w:val="clear" w:color="auto" w:fill="D7D7D7"/>
            <w:noWrap w:val="0"/>
            <w:vAlign w:val="center"/>
          </w:tcPr>
          <w:p w14:paraId="75A1DAA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属性</w:t>
            </w:r>
          </w:p>
        </w:tc>
        <w:tc>
          <w:tcPr>
            <w:tcW w:w="1199" w:type="dxa"/>
            <w:gridSpan w:val="2"/>
            <w:shd w:val="clear" w:color="auto" w:fill="D7D7D7"/>
            <w:noWrap w:val="0"/>
            <w:vAlign w:val="center"/>
          </w:tcPr>
          <w:p w14:paraId="2922608A">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w:t>
            </w:r>
          </w:p>
        </w:tc>
        <w:tc>
          <w:tcPr>
            <w:tcW w:w="5763" w:type="dxa"/>
            <w:shd w:val="clear" w:color="auto" w:fill="D7D7D7"/>
            <w:noWrap w:val="0"/>
            <w:vAlign w:val="center"/>
          </w:tcPr>
          <w:p w14:paraId="6E217CA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267" w:type="dxa"/>
            <w:shd w:val="clear" w:color="auto" w:fill="D7D7D7"/>
            <w:noWrap w:val="0"/>
            <w:vAlign w:val="center"/>
          </w:tcPr>
          <w:p w14:paraId="072DC93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4C39D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72" w:type="dxa"/>
            <w:gridSpan w:val="2"/>
            <w:vMerge w:val="restart"/>
            <w:noWrap w:val="0"/>
            <w:vAlign w:val="center"/>
          </w:tcPr>
          <w:p w14:paraId="7F9B02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生态保护红线</w:t>
            </w:r>
          </w:p>
        </w:tc>
        <w:tc>
          <w:tcPr>
            <w:tcW w:w="371" w:type="dxa"/>
            <w:vMerge w:val="restart"/>
            <w:noWrap w:val="0"/>
            <w:vAlign w:val="center"/>
          </w:tcPr>
          <w:p w14:paraId="537AF0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4201CE1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4418082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1.生态保护红线原则上按禁止开发区域的要求进行管理。严禁不符合主体功能定位的各类开发活动，严禁任意改变用途。</w:t>
            </w:r>
          </w:p>
          <w:p w14:paraId="2781B4A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2.严格禁止任何单位和个人擅自占用和改变用地性质。禁止生态保护红线内空间违法转为城镇空间和农业空间。</w:t>
            </w:r>
          </w:p>
          <w:p w14:paraId="4F47734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3、生态保护红线内，自然保护地核心保护区原则上禁止人为活动，其他区域严格禁止开发性、生产性建设活动，法律法规另有规定的，从其规定。</w:t>
            </w:r>
          </w:p>
        </w:tc>
        <w:tc>
          <w:tcPr>
            <w:tcW w:w="1267" w:type="dxa"/>
            <w:vMerge w:val="restart"/>
            <w:noWrap w:val="0"/>
            <w:vAlign w:val="center"/>
          </w:tcPr>
          <w:p w14:paraId="1EDD7A52">
            <w:pPr>
              <w:widowControl/>
              <w:spacing w:line="0" w:lineRule="atLeast"/>
              <w:jc w:val="center"/>
              <w:rPr>
                <w:rFonts w:ascii="仿宋" w:hAnsi="仿宋" w:eastAsia="仿宋" w:cs="仿宋"/>
                <w:b/>
                <w:spacing w:val="-10"/>
                <w:kern w:val="0"/>
                <w:sz w:val="24"/>
              </w:rPr>
            </w:pPr>
            <w:r>
              <w:rPr>
                <w:rFonts w:hint="eastAsia" w:ascii="仿宋" w:hAnsi="仿宋" w:eastAsia="仿宋" w:cs="仿宋"/>
                <w:bCs/>
                <w:spacing w:val="-10"/>
                <w:kern w:val="0"/>
                <w:sz w:val="24"/>
              </w:rPr>
              <w:t>《关于划定并严守生态保护红线的若干意见》（厅字〔2017〕2号）、《自然生态空间用途管制办法(试行)》（国土资发〔2017〕33号）、《关于在国土空间规划中统筹划定落实三条控制线的指导意见》、《自然资源部 生态环境部国家林业和草原局关于加强生态保护红线管理的通知（试行）》（自然资发〔2022〕142号）</w:t>
            </w:r>
          </w:p>
        </w:tc>
      </w:tr>
      <w:tr w14:paraId="3C7C3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72" w:type="dxa"/>
            <w:gridSpan w:val="2"/>
            <w:vMerge w:val="continue"/>
            <w:noWrap w:val="0"/>
            <w:vAlign w:val="center"/>
          </w:tcPr>
          <w:p w14:paraId="488C1828">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25CCC378">
            <w:pPr>
              <w:widowControl/>
              <w:spacing w:line="0" w:lineRule="atLeast"/>
              <w:jc w:val="center"/>
              <w:rPr>
                <w:rFonts w:ascii="仿宋" w:hAnsi="仿宋" w:eastAsia="仿宋" w:cs="仿宋"/>
                <w:bCs/>
                <w:spacing w:val="-10"/>
                <w:kern w:val="0"/>
                <w:sz w:val="24"/>
              </w:rPr>
            </w:pPr>
          </w:p>
        </w:tc>
        <w:tc>
          <w:tcPr>
            <w:tcW w:w="828" w:type="dxa"/>
            <w:noWrap w:val="0"/>
            <w:vAlign w:val="center"/>
          </w:tcPr>
          <w:p w14:paraId="310B9B4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57EF6EA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1.因国家重大战略资源勘查需要，在不影响主体功能定位的前提下，经依法批准后予以安排勘查项目。</w:t>
            </w:r>
          </w:p>
          <w:p w14:paraId="76B1DE5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2.鼓励按照规划开展维护、修复和提升生态功能的活动。</w:t>
            </w:r>
          </w:p>
          <w:p w14:paraId="72C3004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3.生态保护红线是国土空间规划中的重要管控边界，生态保护红线内自然保护地核心保护区外，禁止开发性、生产性建设活动，在符合法律法规的前提下，仅允许《自然资源部 生态环境部 国家林业和草原局关于加强生态保护红线管理的通知（试行）》（自然资发〔2022〕142号）中对生态功能不造成破坏的有限人为活动。</w:t>
            </w:r>
          </w:p>
        </w:tc>
        <w:tc>
          <w:tcPr>
            <w:tcW w:w="1267" w:type="dxa"/>
            <w:vMerge w:val="continue"/>
            <w:noWrap w:val="0"/>
            <w:vAlign w:val="center"/>
          </w:tcPr>
          <w:p w14:paraId="6C5F1584">
            <w:pPr>
              <w:widowControl/>
              <w:spacing w:line="0" w:lineRule="atLeast"/>
              <w:jc w:val="center"/>
              <w:rPr>
                <w:rFonts w:ascii="仿宋" w:hAnsi="仿宋" w:eastAsia="仿宋" w:cs="仿宋"/>
                <w:b/>
                <w:spacing w:val="-10"/>
                <w:kern w:val="0"/>
                <w:sz w:val="24"/>
              </w:rPr>
            </w:pPr>
          </w:p>
        </w:tc>
      </w:tr>
      <w:tr w14:paraId="4CC21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restart"/>
            <w:noWrap w:val="0"/>
            <w:vAlign w:val="center"/>
          </w:tcPr>
          <w:p w14:paraId="79D386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一般生态空间</w:t>
            </w:r>
          </w:p>
        </w:tc>
        <w:tc>
          <w:tcPr>
            <w:tcW w:w="355" w:type="dxa"/>
            <w:vMerge w:val="restart"/>
            <w:noWrap w:val="0"/>
            <w:vAlign w:val="center"/>
          </w:tcPr>
          <w:p w14:paraId="5FD33D5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总体要求</w:t>
            </w:r>
          </w:p>
        </w:tc>
        <w:tc>
          <w:tcPr>
            <w:tcW w:w="371" w:type="dxa"/>
            <w:vMerge w:val="restart"/>
            <w:noWrap w:val="0"/>
            <w:vAlign w:val="center"/>
          </w:tcPr>
          <w:p w14:paraId="454DB3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71BAB2A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限制类活动</w:t>
            </w:r>
          </w:p>
        </w:tc>
        <w:tc>
          <w:tcPr>
            <w:tcW w:w="5763" w:type="dxa"/>
            <w:noWrap w:val="0"/>
            <w:vAlign w:val="center"/>
          </w:tcPr>
          <w:p w14:paraId="5A5631E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1.生态保护红线外的生态空间，原则上按限制开发区域的要求进行管理。</w:t>
            </w:r>
          </w:p>
          <w:p w14:paraId="6254193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2.从严控制生态空间转为城镇空间和农业空间。</w:t>
            </w:r>
          </w:p>
          <w:p w14:paraId="1B18D22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严格控制新增建设占用生态保护红线外的生态空间。符合区域准入条件的建设项目，涉及占用生态空间中的林地、草原等，按有关法律法规规定办理；涉及占用生态空间中其他未作明确规定的用地，应当加强论证和管理。</w:t>
            </w:r>
          </w:p>
          <w:p w14:paraId="6FD0092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严格限制农业开发占用生态保护红线外的生态空间，符合条件的农业开发项目，须依法由市县级及以上地方人民政府统筹安排。生态保护红线外的耕地，除符合国家生态退耕条件，并纳入国家生态退耕总体安排，或因国家重大生态工程建设需要外，不得随意转用。</w:t>
            </w:r>
          </w:p>
        </w:tc>
        <w:tc>
          <w:tcPr>
            <w:tcW w:w="1267" w:type="dxa"/>
            <w:vMerge w:val="continue"/>
            <w:noWrap w:val="0"/>
            <w:vAlign w:val="center"/>
          </w:tcPr>
          <w:p w14:paraId="22ECE450">
            <w:pPr>
              <w:widowControl/>
              <w:spacing w:line="0" w:lineRule="atLeast"/>
              <w:jc w:val="center"/>
              <w:rPr>
                <w:rFonts w:ascii="仿宋" w:hAnsi="仿宋" w:eastAsia="仿宋" w:cs="仿宋"/>
                <w:bCs/>
                <w:spacing w:val="-10"/>
                <w:kern w:val="0"/>
                <w:sz w:val="24"/>
              </w:rPr>
            </w:pPr>
          </w:p>
        </w:tc>
      </w:tr>
      <w:tr w14:paraId="3F8E4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7213A7DE">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3748FAEA">
            <w:pPr>
              <w:widowControl/>
              <w:spacing w:line="0" w:lineRule="atLeast"/>
              <w:jc w:val="center"/>
              <w:rPr>
                <w:rFonts w:ascii="仿宋" w:hAnsi="仿宋" w:eastAsia="仿宋" w:cs="仿宋"/>
                <w:b/>
                <w:spacing w:val="-10"/>
                <w:kern w:val="0"/>
                <w:sz w:val="24"/>
              </w:rPr>
            </w:pPr>
          </w:p>
        </w:tc>
        <w:tc>
          <w:tcPr>
            <w:tcW w:w="371" w:type="dxa"/>
            <w:vMerge w:val="continue"/>
            <w:noWrap w:val="0"/>
            <w:vAlign w:val="center"/>
          </w:tcPr>
          <w:p w14:paraId="2C40181C">
            <w:pPr>
              <w:widowControl/>
              <w:spacing w:line="0" w:lineRule="atLeast"/>
              <w:jc w:val="center"/>
              <w:rPr>
                <w:rFonts w:ascii="仿宋" w:hAnsi="仿宋" w:eastAsia="仿宋" w:cs="仿宋"/>
                <w:b/>
                <w:spacing w:val="-10"/>
                <w:kern w:val="0"/>
                <w:sz w:val="24"/>
              </w:rPr>
            </w:pPr>
          </w:p>
        </w:tc>
        <w:tc>
          <w:tcPr>
            <w:tcW w:w="828" w:type="dxa"/>
            <w:noWrap w:val="0"/>
            <w:vAlign w:val="center"/>
          </w:tcPr>
          <w:p w14:paraId="37193AAC">
            <w:pPr>
              <w:widowControl/>
              <w:spacing w:line="0" w:lineRule="atLeast"/>
              <w:jc w:val="center"/>
              <w:rPr>
                <w:rFonts w:ascii="仿宋" w:hAnsi="仿宋" w:eastAsia="仿宋" w:cs="仿宋"/>
                <w:b/>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68E21FA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1.鼓励城镇空间和符合国家生态退耕条件的农业空间转为生态空间。</w:t>
            </w:r>
          </w:p>
          <w:p w14:paraId="6EC62BF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2.鼓励各地根据生态保护需要和规划，结合土地综合整治、工矿废弃地复垦利用、矿山环境恢复治理等各类工程实施，因地制宜促进生态空间内建设用地逐步有序退出。</w:t>
            </w:r>
          </w:p>
        </w:tc>
        <w:tc>
          <w:tcPr>
            <w:tcW w:w="1267" w:type="dxa"/>
            <w:vMerge w:val="continue"/>
            <w:noWrap w:val="0"/>
            <w:vAlign w:val="center"/>
          </w:tcPr>
          <w:p w14:paraId="32B10D33">
            <w:pPr>
              <w:widowControl/>
              <w:spacing w:line="0" w:lineRule="atLeast"/>
              <w:jc w:val="center"/>
              <w:rPr>
                <w:rFonts w:ascii="仿宋" w:hAnsi="仿宋" w:eastAsia="仿宋" w:cs="仿宋"/>
                <w:bCs/>
                <w:spacing w:val="-10"/>
                <w:kern w:val="0"/>
                <w:sz w:val="24"/>
              </w:rPr>
            </w:pPr>
          </w:p>
        </w:tc>
      </w:tr>
      <w:tr w14:paraId="6DC6A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15F928CB">
            <w:pPr>
              <w:widowControl/>
              <w:spacing w:line="0" w:lineRule="atLeast"/>
              <w:jc w:val="center"/>
              <w:rPr>
                <w:rFonts w:ascii="仿宋" w:hAnsi="仿宋" w:eastAsia="仿宋" w:cs="仿宋"/>
                <w:b/>
                <w:spacing w:val="-10"/>
                <w:kern w:val="0"/>
                <w:sz w:val="24"/>
              </w:rPr>
            </w:pPr>
          </w:p>
        </w:tc>
        <w:tc>
          <w:tcPr>
            <w:tcW w:w="355" w:type="dxa"/>
            <w:vMerge w:val="restart"/>
            <w:noWrap w:val="0"/>
            <w:vAlign w:val="center"/>
          </w:tcPr>
          <w:p w14:paraId="596D7E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水源涵养</w:t>
            </w:r>
          </w:p>
        </w:tc>
        <w:tc>
          <w:tcPr>
            <w:tcW w:w="371" w:type="dxa"/>
            <w:vMerge w:val="restart"/>
            <w:noWrap w:val="0"/>
            <w:vAlign w:val="center"/>
          </w:tcPr>
          <w:p w14:paraId="44D3FC8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661F87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194E6C6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1.严格保护具有重要水源涵养功能的自然植被，限制或禁止各种损害生态系统水源涵养功能的经济社会活动和生产方式，如无序采矿、毁林开荒、湿地和草地开垦、过度放牧、道路建设等。</w:t>
            </w:r>
          </w:p>
          <w:p w14:paraId="3B25F5E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2.控制水污染，减轻水污染负荷，禁止导致水体污染的产业发展，开展生态清洁小流域的建设。</w:t>
            </w:r>
          </w:p>
        </w:tc>
        <w:tc>
          <w:tcPr>
            <w:tcW w:w="1267" w:type="dxa"/>
            <w:vMerge w:val="restart"/>
            <w:noWrap w:val="0"/>
            <w:vAlign w:val="center"/>
          </w:tcPr>
          <w:p w14:paraId="3F5A4059">
            <w:pPr>
              <w:pStyle w:val="11"/>
              <w:spacing w:line="0" w:lineRule="atLeast"/>
              <w:jc w:val="center"/>
              <w:rPr>
                <w:rFonts w:ascii="仿宋" w:hAnsi="仿宋" w:eastAsia="仿宋" w:cs="仿宋"/>
                <w:bCs/>
                <w:color w:val="auto"/>
                <w:spacing w:val="-10"/>
              </w:rPr>
            </w:pPr>
            <w:r>
              <w:rPr>
                <w:rFonts w:hint="eastAsia" w:ascii="仿宋" w:hAnsi="仿宋" w:eastAsia="仿宋" w:cs="仿宋"/>
                <w:bCs/>
                <w:color w:val="auto"/>
                <w:spacing w:val="-10"/>
              </w:rPr>
              <w:t>《中华人民共和国水土保持法》（中华人民共和国主席令第三十九号）、《全国生态功能区划(修编版)》（公告 2015年 第61号）、《国家重点生态功能保护区规划纲要》（环发〔2007〕165号）、《关于做好生物多样性保护优先区域有关工作的通知》（环发〔2015〕177号）、《国务院关于印发全国主体功能区规划的通知》(国发〔2010〕46号)</w:t>
            </w:r>
          </w:p>
        </w:tc>
      </w:tr>
      <w:tr w14:paraId="57FC1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4242F948">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18356F02">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16244641">
            <w:pPr>
              <w:widowControl/>
              <w:spacing w:line="0" w:lineRule="atLeast"/>
              <w:jc w:val="center"/>
              <w:rPr>
                <w:rFonts w:ascii="仿宋" w:hAnsi="仿宋" w:eastAsia="仿宋" w:cs="仿宋"/>
                <w:bCs/>
                <w:spacing w:val="-10"/>
                <w:kern w:val="0"/>
                <w:sz w:val="24"/>
              </w:rPr>
            </w:pPr>
          </w:p>
        </w:tc>
        <w:tc>
          <w:tcPr>
            <w:tcW w:w="828" w:type="dxa"/>
            <w:noWrap w:val="0"/>
            <w:vAlign w:val="center"/>
          </w:tcPr>
          <w:p w14:paraId="24C8BE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5F08BCB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1.坚持自然恢复为主，严格限制在水源涵养区大规模人工造林。</w:t>
            </w:r>
          </w:p>
          <w:p w14:paraId="688C4AC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2.严格控制载畜量，实行以草定畜，在农牧交错区提倡农牧结合，发展生态产业，培育替代产业，减轻区内畜牧业对水源和生态系统的压力。</w:t>
            </w:r>
          </w:p>
        </w:tc>
        <w:tc>
          <w:tcPr>
            <w:tcW w:w="1267" w:type="dxa"/>
            <w:vMerge w:val="continue"/>
            <w:noWrap w:val="0"/>
            <w:vAlign w:val="center"/>
          </w:tcPr>
          <w:p w14:paraId="6406A2C6">
            <w:pPr>
              <w:pStyle w:val="11"/>
              <w:spacing w:line="0" w:lineRule="atLeast"/>
              <w:jc w:val="center"/>
              <w:rPr>
                <w:rFonts w:ascii="仿宋" w:hAnsi="仿宋" w:eastAsia="仿宋" w:cs="仿宋"/>
                <w:bCs/>
                <w:color w:val="auto"/>
                <w:spacing w:val="-10"/>
              </w:rPr>
            </w:pPr>
          </w:p>
        </w:tc>
      </w:tr>
      <w:tr w14:paraId="78B24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639370E3">
            <w:pPr>
              <w:widowControl/>
              <w:spacing w:line="0" w:lineRule="atLeast"/>
              <w:jc w:val="center"/>
              <w:rPr>
                <w:rFonts w:ascii="仿宋" w:hAnsi="仿宋" w:eastAsia="仿宋" w:cs="仿宋"/>
                <w:b/>
                <w:spacing w:val="-10"/>
                <w:kern w:val="0"/>
                <w:sz w:val="24"/>
              </w:rPr>
            </w:pPr>
          </w:p>
        </w:tc>
        <w:tc>
          <w:tcPr>
            <w:tcW w:w="355" w:type="dxa"/>
            <w:vMerge w:val="restart"/>
            <w:noWrap w:val="0"/>
            <w:vAlign w:val="center"/>
          </w:tcPr>
          <w:p w14:paraId="62F828A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防风固沙</w:t>
            </w:r>
          </w:p>
        </w:tc>
        <w:tc>
          <w:tcPr>
            <w:tcW w:w="371" w:type="dxa"/>
            <w:vMerge w:val="restart"/>
            <w:noWrap w:val="0"/>
            <w:vAlign w:val="center"/>
          </w:tcPr>
          <w:p w14:paraId="1C5DDB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518AE09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6202EBE3">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加强对内陆河流的规划和管理，保护沙区湿地，禁止发展高耗水工业。</w:t>
            </w:r>
          </w:p>
        </w:tc>
        <w:tc>
          <w:tcPr>
            <w:tcW w:w="1267" w:type="dxa"/>
            <w:vMerge w:val="continue"/>
            <w:noWrap w:val="0"/>
            <w:vAlign w:val="center"/>
          </w:tcPr>
          <w:p w14:paraId="2D7B9799">
            <w:pPr>
              <w:pStyle w:val="11"/>
              <w:spacing w:line="0" w:lineRule="atLeast"/>
              <w:jc w:val="center"/>
              <w:rPr>
                <w:rFonts w:ascii="仿宋" w:hAnsi="仿宋" w:eastAsia="仿宋" w:cs="仿宋"/>
                <w:bCs/>
                <w:color w:val="auto"/>
                <w:spacing w:val="-10"/>
              </w:rPr>
            </w:pPr>
          </w:p>
        </w:tc>
      </w:tr>
      <w:tr w14:paraId="77058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0E77F19C">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15CF5540">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4BFCE987">
            <w:pPr>
              <w:widowControl/>
              <w:spacing w:line="0" w:lineRule="atLeast"/>
              <w:jc w:val="center"/>
              <w:rPr>
                <w:rFonts w:ascii="仿宋" w:hAnsi="仿宋" w:eastAsia="仿宋" w:cs="仿宋"/>
                <w:bCs/>
                <w:spacing w:val="-10"/>
                <w:kern w:val="0"/>
                <w:sz w:val="24"/>
              </w:rPr>
            </w:pPr>
          </w:p>
        </w:tc>
        <w:tc>
          <w:tcPr>
            <w:tcW w:w="828" w:type="dxa"/>
            <w:noWrap w:val="0"/>
            <w:vAlign w:val="center"/>
          </w:tcPr>
          <w:p w14:paraId="4B52271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53A9EB34">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转变畜牧业生产方式，实行禁牧休牧，推行舍饲圈养，以草定畜，严格控制载畜量。</w:t>
            </w:r>
          </w:p>
        </w:tc>
        <w:tc>
          <w:tcPr>
            <w:tcW w:w="1267" w:type="dxa"/>
            <w:vMerge w:val="continue"/>
            <w:noWrap w:val="0"/>
            <w:vAlign w:val="top"/>
          </w:tcPr>
          <w:p w14:paraId="2764D1D5">
            <w:pPr>
              <w:widowControl/>
              <w:spacing w:line="0" w:lineRule="atLeast"/>
              <w:jc w:val="center"/>
              <w:rPr>
                <w:rFonts w:ascii="仿宋" w:hAnsi="仿宋" w:eastAsia="仿宋" w:cs="仿宋"/>
                <w:bCs/>
                <w:spacing w:val="-10"/>
                <w:kern w:val="0"/>
                <w:sz w:val="24"/>
              </w:rPr>
            </w:pPr>
          </w:p>
        </w:tc>
      </w:tr>
      <w:tr w14:paraId="70BFE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518C41DF">
            <w:pPr>
              <w:widowControl/>
              <w:spacing w:line="0" w:lineRule="atLeast"/>
              <w:jc w:val="center"/>
              <w:rPr>
                <w:rFonts w:ascii="仿宋" w:hAnsi="仿宋" w:eastAsia="仿宋" w:cs="仿宋"/>
                <w:b/>
                <w:spacing w:val="-10"/>
                <w:kern w:val="0"/>
                <w:sz w:val="24"/>
              </w:rPr>
            </w:pPr>
          </w:p>
        </w:tc>
        <w:tc>
          <w:tcPr>
            <w:tcW w:w="355" w:type="dxa"/>
            <w:vMerge w:val="restart"/>
            <w:noWrap w:val="0"/>
            <w:vAlign w:val="center"/>
          </w:tcPr>
          <w:p w14:paraId="51318A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w:t>
            </w:r>
          </w:p>
        </w:tc>
        <w:tc>
          <w:tcPr>
            <w:tcW w:w="371" w:type="dxa"/>
            <w:vMerge w:val="restart"/>
            <w:noWrap w:val="0"/>
            <w:vAlign w:val="center"/>
          </w:tcPr>
          <w:p w14:paraId="7D50493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6237A2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029343EE">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1.严禁陡坡垦殖和过度放牧。</w:t>
            </w:r>
          </w:p>
          <w:p w14:paraId="47D7C5D9">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2.禁止毁林开荒、烧山开荒和陡坡地开垦，合理开发自然资源，保护和恢复自然生态系统，增强区域水土保持能力。</w:t>
            </w:r>
          </w:p>
        </w:tc>
        <w:tc>
          <w:tcPr>
            <w:tcW w:w="1267" w:type="dxa"/>
            <w:vMerge w:val="continue"/>
            <w:noWrap w:val="0"/>
            <w:vAlign w:val="center"/>
          </w:tcPr>
          <w:p w14:paraId="29E754B6">
            <w:pPr>
              <w:widowControl/>
              <w:spacing w:line="0" w:lineRule="atLeast"/>
              <w:jc w:val="center"/>
              <w:rPr>
                <w:rFonts w:ascii="仿宋" w:hAnsi="仿宋" w:eastAsia="仿宋" w:cs="仿宋"/>
                <w:bCs/>
                <w:spacing w:val="-10"/>
                <w:kern w:val="0"/>
                <w:sz w:val="24"/>
              </w:rPr>
            </w:pPr>
          </w:p>
        </w:tc>
      </w:tr>
      <w:tr w14:paraId="2E1B5B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66F25576">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772D9B82">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5D0B1C12">
            <w:pPr>
              <w:widowControl/>
              <w:spacing w:line="0" w:lineRule="atLeast"/>
              <w:jc w:val="center"/>
              <w:rPr>
                <w:rFonts w:ascii="仿宋" w:hAnsi="仿宋" w:eastAsia="仿宋" w:cs="仿宋"/>
                <w:bCs/>
                <w:spacing w:val="-10"/>
                <w:kern w:val="0"/>
                <w:sz w:val="24"/>
              </w:rPr>
            </w:pPr>
          </w:p>
        </w:tc>
        <w:tc>
          <w:tcPr>
            <w:tcW w:w="828" w:type="dxa"/>
            <w:noWrap w:val="0"/>
            <w:vAlign w:val="center"/>
          </w:tcPr>
          <w:p w14:paraId="08DC0C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79D51517">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1.严格资源开发和建设项目的生态监管，控制新的人为水土流失。</w:t>
            </w:r>
          </w:p>
          <w:p w14:paraId="4094CC9D">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2.对水土保持林只能进行抚育和更新性质的采伐；对采伐区和集材道应当采取防止水土流失的措施，并在采伐后及时更新造林。</w:t>
            </w:r>
          </w:p>
        </w:tc>
        <w:tc>
          <w:tcPr>
            <w:tcW w:w="1267" w:type="dxa"/>
            <w:vMerge w:val="continue"/>
            <w:noWrap w:val="0"/>
            <w:vAlign w:val="center"/>
          </w:tcPr>
          <w:p w14:paraId="708D7073">
            <w:pPr>
              <w:widowControl/>
              <w:spacing w:line="0" w:lineRule="atLeast"/>
              <w:rPr>
                <w:rFonts w:ascii="仿宋" w:hAnsi="仿宋" w:eastAsia="仿宋" w:cs="仿宋"/>
                <w:bCs/>
                <w:spacing w:val="-10"/>
                <w:kern w:val="0"/>
                <w:sz w:val="24"/>
              </w:rPr>
            </w:pPr>
          </w:p>
        </w:tc>
      </w:tr>
      <w:tr w14:paraId="67E42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38E522C9">
            <w:pPr>
              <w:widowControl/>
              <w:spacing w:line="0" w:lineRule="atLeast"/>
              <w:jc w:val="center"/>
              <w:rPr>
                <w:rFonts w:ascii="仿宋" w:hAnsi="仿宋" w:eastAsia="仿宋" w:cs="仿宋"/>
                <w:b/>
                <w:spacing w:val="-10"/>
                <w:kern w:val="0"/>
                <w:sz w:val="24"/>
              </w:rPr>
            </w:pPr>
          </w:p>
        </w:tc>
        <w:tc>
          <w:tcPr>
            <w:tcW w:w="355" w:type="dxa"/>
            <w:vMerge w:val="restart"/>
            <w:noWrap w:val="0"/>
            <w:vAlign w:val="center"/>
          </w:tcPr>
          <w:p w14:paraId="2BE202A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生物多样性维护</w:t>
            </w:r>
          </w:p>
        </w:tc>
        <w:tc>
          <w:tcPr>
            <w:tcW w:w="371" w:type="dxa"/>
            <w:vMerge w:val="restart"/>
            <w:noWrap w:val="0"/>
            <w:vAlign w:val="center"/>
          </w:tcPr>
          <w:p w14:paraId="46BAAC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74AB65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0E0A55EF">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1.禁止对野生动植物进行滥捕、乱采、乱猎。</w:t>
            </w:r>
          </w:p>
          <w:p w14:paraId="7CAE6C26">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2.保护自然生态系统与重要物种栖息地，限制或禁止各种损害栖息地的经济社会活动和生产方式，如无序采矿、毁林开荒、湿地和草地开垦、道路建设等。防止生态建设导致栖息环境的改变。</w:t>
            </w:r>
          </w:p>
          <w:p w14:paraId="7FD0009E">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3.加强对外来物种入侵的控制，禁止在生物多样性保护功能区引进外来物种。</w:t>
            </w:r>
          </w:p>
        </w:tc>
        <w:tc>
          <w:tcPr>
            <w:tcW w:w="1267" w:type="dxa"/>
            <w:vMerge w:val="continue"/>
            <w:noWrap w:val="0"/>
            <w:vAlign w:val="center"/>
          </w:tcPr>
          <w:p w14:paraId="7C8B1B10">
            <w:pPr>
              <w:widowControl/>
              <w:spacing w:line="0" w:lineRule="atLeast"/>
              <w:jc w:val="center"/>
              <w:rPr>
                <w:rFonts w:ascii="仿宋" w:hAnsi="仿宋" w:eastAsia="仿宋" w:cs="仿宋"/>
                <w:bCs/>
                <w:spacing w:val="-10"/>
                <w:kern w:val="0"/>
                <w:sz w:val="24"/>
              </w:rPr>
            </w:pPr>
          </w:p>
        </w:tc>
      </w:tr>
      <w:tr w14:paraId="66AAC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4D5E0C3D">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015FBC97">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10D72EA7">
            <w:pPr>
              <w:widowControl/>
              <w:spacing w:line="0" w:lineRule="atLeast"/>
              <w:jc w:val="center"/>
              <w:rPr>
                <w:rFonts w:ascii="仿宋" w:hAnsi="仿宋" w:eastAsia="仿宋" w:cs="仿宋"/>
                <w:bCs/>
                <w:spacing w:val="-10"/>
                <w:kern w:val="0"/>
                <w:sz w:val="24"/>
              </w:rPr>
            </w:pPr>
          </w:p>
        </w:tc>
        <w:tc>
          <w:tcPr>
            <w:tcW w:w="828" w:type="dxa"/>
            <w:noWrap w:val="0"/>
            <w:vAlign w:val="center"/>
          </w:tcPr>
          <w:p w14:paraId="404068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4127897E">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1.严格控制高耗能、高排放行业发展，新引入的行业、企业不得对优先区域生物多样性造成影响。</w:t>
            </w:r>
          </w:p>
          <w:p w14:paraId="1BB99DCD">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2.保护自然生态系统与重要物种栖息地，限制或禁止各种损害栖息地的经济社会活动和生产方式，如无序采矿、毁林开荒、湿地和草地开垦、道路建设等。防止生态建设导致栖息环境的改变。</w:t>
            </w:r>
          </w:p>
        </w:tc>
        <w:tc>
          <w:tcPr>
            <w:tcW w:w="1267" w:type="dxa"/>
            <w:vMerge w:val="continue"/>
            <w:noWrap w:val="0"/>
            <w:vAlign w:val="center"/>
          </w:tcPr>
          <w:p w14:paraId="39203F5D">
            <w:pPr>
              <w:widowControl/>
              <w:spacing w:line="0" w:lineRule="atLeast"/>
              <w:rPr>
                <w:rFonts w:ascii="仿宋" w:hAnsi="仿宋" w:eastAsia="仿宋" w:cs="仿宋"/>
                <w:bCs/>
                <w:spacing w:val="-10"/>
                <w:kern w:val="0"/>
                <w:sz w:val="24"/>
              </w:rPr>
            </w:pPr>
          </w:p>
        </w:tc>
      </w:tr>
      <w:tr w14:paraId="23A50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48A7645B">
            <w:pPr>
              <w:widowControl/>
              <w:spacing w:line="0" w:lineRule="atLeast"/>
              <w:jc w:val="center"/>
              <w:rPr>
                <w:rFonts w:ascii="仿宋" w:hAnsi="仿宋" w:eastAsia="仿宋" w:cs="仿宋"/>
                <w:b/>
                <w:spacing w:val="-10"/>
                <w:kern w:val="0"/>
                <w:sz w:val="24"/>
              </w:rPr>
            </w:pPr>
          </w:p>
        </w:tc>
        <w:tc>
          <w:tcPr>
            <w:tcW w:w="355" w:type="dxa"/>
            <w:vMerge w:val="restart"/>
            <w:noWrap w:val="0"/>
            <w:vAlign w:val="center"/>
          </w:tcPr>
          <w:p w14:paraId="68542C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水土流失</w:t>
            </w:r>
          </w:p>
        </w:tc>
        <w:tc>
          <w:tcPr>
            <w:tcW w:w="371" w:type="dxa"/>
            <w:vMerge w:val="restart"/>
            <w:noWrap w:val="0"/>
            <w:vAlign w:val="center"/>
          </w:tcPr>
          <w:p w14:paraId="732340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6E38D0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1529DAA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1.禁止在崩塌、滑坡危险区和泥石流易发区从事取土、挖砂、采石等可能造成水土流失的活动。</w:t>
            </w:r>
          </w:p>
          <w:p w14:paraId="77EA724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2.禁止开垦、开发植物保护带。</w:t>
            </w:r>
          </w:p>
          <w:p w14:paraId="6178500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3.禁止在二十五度以上陡坡地开垦种植农作物。在二十五度以上陡坡地种植经济林的，应当科学选择树种，合理确定规模，采取水土保持措施，防止造成水土流失。</w:t>
            </w:r>
          </w:p>
        </w:tc>
        <w:tc>
          <w:tcPr>
            <w:tcW w:w="1267" w:type="dxa"/>
            <w:vMerge w:val="restart"/>
            <w:noWrap w:val="0"/>
            <w:vAlign w:val="center"/>
          </w:tcPr>
          <w:p w14:paraId="2C647EA2">
            <w:pPr>
              <w:widowControl/>
              <w:spacing w:line="0" w:lineRule="atLeast"/>
              <w:jc w:val="center"/>
              <w:rPr>
                <w:rFonts w:ascii="仿宋" w:hAnsi="仿宋" w:eastAsia="仿宋" w:cs="仿宋"/>
                <w:bCs/>
                <w:spacing w:val="-10"/>
                <w:sz w:val="24"/>
              </w:rPr>
            </w:pPr>
            <w:r>
              <w:rPr>
                <w:rFonts w:hint="eastAsia" w:ascii="仿宋" w:hAnsi="仿宋" w:eastAsia="仿宋" w:cs="仿宋"/>
                <w:bCs/>
                <w:spacing w:val="-10"/>
                <w:sz w:val="24"/>
              </w:rPr>
              <w:t>《中华人民共和国水土保持法》（中华人民共和国主席令</w:t>
            </w:r>
          </w:p>
          <w:p w14:paraId="1903674B">
            <w:pPr>
              <w:widowControl/>
              <w:spacing w:line="0" w:lineRule="atLeast"/>
              <w:jc w:val="center"/>
              <w:rPr>
                <w:rFonts w:ascii="仿宋" w:hAnsi="仿宋" w:eastAsia="仿宋" w:cs="仿宋"/>
                <w:kern w:val="0"/>
                <w:sz w:val="24"/>
              </w:rPr>
            </w:pPr>
            <w:r>
              <w:rPr>
                <w:rFonts w:hint="eastAsia" w:ascii="仿宋" w:hAnsi="仿宋" w:eastAsia="仿宋" w:cs="仿宋"/>
                <w:bCs/>
                <w:spacing w:val="-10"/>
                <w:sz w:val="24"/>
              </w:rPr>
              <w:t>第三十九号）</w:t>
            </w:r>
          </w:p>
        </w:tc>
      </w:tr>
      <w:tr w14:paraId="45F77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3DE1CA35">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24390D18">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09464E14">
            <w:pPr>
              <w:widowControl/>
              <w:spacing w:line="0" w:lineRule="atLeast"/>
              <w:jc w:val="center"/>
              <w:rPr>
                <w:rFonts w:ascii="仿宋" w:hAnsi="仿宋" w:eastAsia="仿宋" w:cs="仿宋"/>
                <w:bCs/>
                <w:spacing w:val="-10"/>
                <w:kern w:val="0"/>
                <w:sz w:val="24"/>
              </w:rPr>
            </w:pPr>
          </w:p>
        </w:tc>
        <w:tc>
          <w:tcPr>
            <w:tcW w:w="828" w:type="dxa"/>
            <w:noWrap w:val="0"/>
            <w:vAlign w:val="center"/>
          </w:tcPr>
          <w:p w14:paraId="7B9AC8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392DCCA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1.有关基础设施建设、矿产资源开发、城镇建设、公共服务设施建设等方面的规划，在实施过程中可能造成水土流失的，规划的组织编制机关应当在规划中提出水土流失预防和治理的对策和措施。</w:t>
            </w:r>
          </w:p>
          <w:p w14:paraId="1F7F04B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2.对采伐区和集材道应当采取防止水土流失的措施，并在采伐后及时更新造林。</w:t>
            </w:r>
          </w:p>
          <w:p w14:paraId="5A9C077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3.生产建设项目选址、选线应当避让水土流失重点预防区和重点治理区；无法避让的，应当提高防治标准，优化施工工艺，减少地表扰动和植被损坏范围，有效控制可能造成的水土流失。</w:t>
            </w:r>
          </w:p>
          <w:p w14:paraId="22A4286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w:t>
            </w:r>
          </w:p>
        </w:tc>
        <w:tc>
          <w:tcPr>
            <w:tcW w:w="1267" w:type="dxa"/>
            <w:vMerge w:val="continue"/>
            <w:noWrap w:val="0"/>
            <w:vAlign w:val="center"/>
          </w:tcPr>
          <w:p w14:paraId="60125B8C">
            <w:pPr>
              <w:widowControl/>
              <w:spacing w:line="0" w:lineRule="atLeast"/>
              <w:jc w:val="center"/>
              <w:rPr>
                <w:rFonts w:ascii="仿宋" w:hAnsi="仿宋" w:eastAsia="仿宋" w:cs="仿宋"/>
                <w:bCs/>
                <w:spacing w:val="-10"/>
                <w:kern w:val="0"/>
                <w:sz w:val="24"/>
              </w:rPr>
            </w:pPr>
          </w:p>
        </w:tc>
      </w:tr>
      <w:tr w14:paraId="498F6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4807FA76">
            <w:pPr>
              <w:widowControl/>
              <w:spacing w:line="0" w:lineRule="atLeast"/>
              <w:jc w:val="center"/>
              <w:rPr>
                <w:rFonts w:ascii="仿宋" w:hAnsi="仿宋" w:eastAsia="仿宋" w:cs="仿宋"/>
                <w:b/>
                <w:spacing w:val="-10"/>
                <w:kern w:val="0"/>
                <w:sz w:val="24"/>
              </w:rPr>
            </w:pPr>
          </w:p>
        </w:tc>
        <w:tc>
          <w:tcPr>
            <w:tcW w:w="355" w:type="dxa"/>
            <w:vMerge w:val="restart"/>
            <w:noWrap w:val="0"/>
            <w:vAlign w:val="center"/>
          </w:tcPr>
          <w:p w14:paraId="1DDCFEF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土地沙化</w:t>
            </w:r>
          </w:p>
        </w:tc>
        <w:tc>
          <w:tcPr>
            <w:tcW w:w="371" w:type="dxa"/>
            <w:vMerge w:val="restart"/>
            <w:noWrap w:val="0"/>
            <w:vAlign w:val="center"/>
          </w:tcPr>
          <w:p w14:paraId="55005A0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45BA7E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6486083E">
            <w:pPr>
              <w:pStyle w:val="11"/>
              <w:spacing w:line="0" w:lineRule="atLeast"/>
              <w:ind w:firstLine="440" w:firstLineChars="200"/>
              <w:jc w:val="both"/>
              <w:rPr>
                <w:rFonts w:ascii="仿宋" w:hAnsi="仿宋" w:eastAsia="仿宋" w:cs="仿宋"/>
                <w:color w:val="auto"/>
                <w:spacing w:val="-10"/>
              </w:rPr>
            </w:pPr>
            <w:r>
              <w:rPr>
                <w:rFonts w:hint="eastAsia" w:ascii="仿宋" w:hAnsi="仿宋" w:eastAsia="仿宋" w:cs="仿宋"/>
                <w:color w:val="auto"/>
                <w:spacing w:val="-10"/>
              </w:rPr>
              <w:t>1.禁止在沙化土地上砍挖灌木、药材及其他固沙植物。</w:t>
            </w:r>
          </w:p>
          <w:p w14:paraId="07F5F7AE">
            <w:pPr>
              <w:pStyle w:val="11"/>
              <w:spacing w:line="0" w:lineRule="atLeast"/>
              <w:ind w:firstLine="440" w:firstLineChars="200"/>
              <w:jc w:val="both"/>
              <w:rPr>
                <w:rFonts w:ascii="仿宋" w:hAnsi="仿宋" w:eastAsia="仿宋" w:cs="仿宋"/>
                <w:color w:val="auto"/>
                <w:spacing w:val="-10"/>
              </w:rPr>
            </w:pPr>
            <w:r>
              <w:rPr>
                <w:rFonts w:hint="eastAsia" w:ascii="仿宋" w:hAnsi="仿宋" w:eastAsia="仿宋" w:cs="仿宋"/>
                <w:color w:val="auto"/>
                <w:spacing w:val="-10"/>
              </w:rPr>
              <w:t>2.在沙化土地封禁保护区范围内，禁止一切破坏植被的活动。禁止在沙化土地封禁保护区范围内安置移民。</w:t>
            </w:r>
          </w:p>
        </w:tc>
        <w:tc>
          <w:tcPr>
            <w:tcW w:w="1267" w:type="dxa"/>
            <w:vMerge w:val="restart"/>
            <w:noWrap w:val="0"/>
            <w:vAlign w:val="center"/>
          </w:tcPr>
          <w:p w14:paraId="7D30BF9E">
            <w:pPr>
              <w:widowControl/>
              <w:spacing w:line="0" w:lineRule="atLeast"/>
              <w:jc w:val="center"/>
              <w:rPr>
                <w:rFonts w:ascii="仿宋" w:hAnsi="仿宋" w:eastAsia="仿宋" w:cs="仿宋"/>
                <w:kern w:val="0"/>
                <w:sz w:val="24"/>
              </w:rPr>
            </w:pPr>
            <w:r>
              <w:rPr>
                <w:rFonts w:hint="eastAsia" w:ascii="仿宋" w:hAnsi="仿宋" w:eastAsia="仿宋" w:cs="仿宋"/>
                <w:bCs/>
                <w:spacing w:val="-10"/>
                <w:sz w:val="24"/>
              </w:rPr>
              <w:t>《中华人民共和国防沙治沙法》（2018年修订本）</w:t>
            </w:r>
          </w:p>
        </w:tc>
      </w:tr>
      <w:tr w14:paraId="727AE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55741C34">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545C8479">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42606A55">
            <w:pPr>
              <w:widowControl/>
              <w:spacing w:line="0" w:lineRule="atLeast"/>
              <w:jc w:val="center"/>
              <w:rPr>
                <w:rFonts w:ascii="仿宋" w:hAnsi="仿宋" w:eastAsia="仿宋" w:cs="仿宋"/>
                <w:bCs/>
                <w:spacing w:val="-10"/>
                <w:kern w:val="0"/>
                <w:sz w:val="24"/>
              </w:rPr>
            </w:pPr>
          </w:p>
        </w:tc>
        <w:tc>
          <w:tcPr>
            <w:tcW w:w="828" w:type="dxa"/>
            <w:noWrap w:val="0"/>
            <w:vAlign w:val="center"/>
          </w:tcPr>
          <w:p w14:paraId="1F3664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7CEB42E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在对防风固沙林网、林带进行抚育更新性质的采伐之前，必须在其附近预先形成接替林网和林带。</w:t>
            </w:r>
          </w:p>
        </w:tc>
        <w:tc>
          <w:tcPr>
            <w:tcW w:w="1267" w:type="dxa"/>
            <w:vMerge w:val="continue"/>
            <w:noWrap w:val="0"/>
            <w:vAlign w:val="center"/>
          </w:tcPr>
          <w:p w14:paraId="32F892B5">
            <w:pPr>
              <w:widowControl/>
              <w:spacing w:line="0" w:lineRule="atLeast"/>
              <w:jc w:val="center"/>
              <w:rPr>
                <w:rFonts w:ascii="仿宋" w:hAnsi="仿宋" w:eastAsia="仿宋" w:cs="仿宋"/>
                <w:bCs/>
                <w:spacing w:val="-10"/>
                <w:kern w:val="0"/>
                <w:sz w:val="24"/>
              </w:rPr>
            </w:pPr>
          </w:p>
        </w:tc>
      </w:tr>
      <w:tr w14:paraId="1F90F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40C404AF">
            <w:pPr>
              <w:widowControl/>
              <w:spacing w:line="0" w:lineRule="atLeast"/>
              <w:jc w:val="center"/>
              <w:rPr>
                <w:rFonts w:ascii="仿宋" w:hAnsi="仿宋" w:eastAsia="仿宋" w:cs="仿宋"/>
                <w:b/>
                <w:spacing w:val="-10"/>
                <w:kern w:val="0"/>
                <w:sz w:val="24"/>
              </w:rPr>
            </w:pPr>
          </w:p>
        </w:tc>
        <w:tc>
          <w:tcPr>
            <w:tcW w:w="355" w:type="dxa"/>
            <w:vMerge w:val="restart"/>
            <w:noWrap w:val="0"/>
            <w:vAlign w:val="center"/>
          </w:tcPr>
          <w:p w14:paraId="4F52C1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371" w:type="dxa"/>
            <w:vMerge w:val="restart"/>
            <w:noWrap w:val="0"/>
            <w:vAlign w:val="center"/>
          </w:tcPr>
          <w:p w14:paraId="542141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828" w:type="dxa"/>
            <w:noWrap w:val="0"/>
            <w:vAlign w:val="center"/>
          </w:tcPr>
          <w:p w14:paraId="7E92C8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763" w:type="dxa"/>
            <w:noWrap w:val="0"/>
            <w:vAlign w:val="center"/>
          </w:tcPr>
          <w:p w14:paraId="7BAFB0B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1.任何单位和个人不得擅自占用湿地或者改变湿地用途。确需占用或者征收湿地的，应当按照有关法律、法规的规定办理相应手续。</w:t>
            </w:r>
          </w:p>
          <w:p w14:paraId="4A7B434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禁止在湿地内从事下列行为：擅自占用、围垦、填埋或者排干湿地；擅自取用或者截断湿地水源；破坏水生动物洄游通道或者野生动物栖息地；擅自采砂、取土；向湿地违法排污；捡拾鸟卵，捕猎野生动物；擅自引进外来物种；破坏或者移动湿地界标、围栏、围网等保护设施；其他破坏湿地及其生态功能或者改变湿地用途的行为。</w:t>
            </w:r>
          </w:p>
          <w:p w14:paraId="757B8FB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保护水利工程及其附属设施的安全完整。禁止损毁堤防、护岸、闸坝等水工程建筑物和防汛设施、水文监测和测量设施、河岸地质监测设施以及通信照明等设施。在防汛抢险期间，无关人员和车辆不得上堤。因降雨雪等造成堤顶泥泞期间，禁止车辆通行，但防汛抢险车辆除外。</w:t>
            </w:r>
          </w:p>
          <w:p w14:paraId="6FB5514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4.在河道管理范围内，禁止堆放、倾倒、掩埋、排放污染水体的物体。禁止在河道内清洗装贮过油类或者有毒污染物的车辆、容器。</w:t>
            </w:r>
          </w:p>
        </w:tc>
        <w:tc>
          <w:tcPr>
            <w:tcW w:w="1267" w:type="dxa"/>
            <w:vMerge w:val="restart"/>
            <w:noWrap w:val="0"/>
            <w:vAlign w:val="center"/>
          </w:tcPr>
          <w:p w14:paraId="05A40C9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《中华人民共和国河道管理条例》（2018年修订）、《河北省湿地保护条例》（2017年1月1日起实施）</w:t>
            </w:r>
          </w:p>
        </w:tc>
      </w:tr>
      <w:tr w14:paraId="2A904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7" w:type="dxa"/>
            <w:vMerge w:val="continue"/>
            <w:noWrap w:val="0"/>
            <w:vAlign w:val="center"/>
          </w:tcPr>
          <w:p w14:paraId="6B3F65FE">
            <w:pPr>
              <w:widowControl/>
              <w:spacing w:line="0" w:lineRule="atLeast"/>
              <w:jc w:val="center"/>
              <w:rPr>
                <w:rFonts w:ascii="仿宋" w:hAnsi="仿宋" w:eastAsia="仿宋" w:cs="仿宋"/>
                <w:b/>
                <w:spacing w:val="-10"/>
                <w:kern w:val="0"/>
                <w:sz w:val="24"/>
              </w:rPr>
            </w:pPr>
          </w:p>
        </w:tc>
        <w:tc>
          <w:tcPr>
            <w:tcW w:w="355" w:type="dxa"/>
            <w:vMerge w:val="continue"/>
            <w:noWrap w:val="0"/>
            <w:vAlign w:val="center"/>
          </w:tcPr>
          <w:p w14:paraId="55A9BAB8">
            <w:pPr>
              <w:widowControl/>
              <w:spacing w:line="0" w:lineRule="atLeast"/>
              <w:jc w:val="center"/>
              <w:rPr>
                <w:rFonts w:ascii="仿宋" w:hAnsi="仿宋" w:eastAsia="仿宋" w:cs="仿宋"/>
                <w:bCs/>
                <w:spacing w:val="-10"/>
                <w:kern w:val="0"/>
                <w:sz w:val="24"/>
              </w:rPr>
            </w:pPr>
          </w:p>
        </w:tc>
        <w:tc>
          <w:tcPr>
            <w:tcW w:w="371" w:type="dxa"/>
            <w:vMerge w:val="continue"/>
            <w:noWrap w:val="0"/>
            <w:vAlign w:val="center"/>
          </w:tcPr>
          <w:p w14:paraId="00DB130B">
            <w:pPr>
              <w:widowControl/>
              <w:spacing w:line="0" w:lineRule="atLeast"/>
              <w:jc w:val="center"/>
              <w:rPr>
                <w:rFonts w:ascii="仿宋" w:hAnsi="仿宋" w:eastAsia="仿宋" w:cs="仿宋"/>
                <w:bCs/>
                <w:spacing w:val="-10"/>
                <w:kern w:val="0"/>
                <w:sz w:val="24"/>
              </w:rPr>
            </w:pPr>
          </w:p>
        </w:tc>
        <w:tc>
          <w:tcPr>
            <w:tcW w:w="828" w:type="dxa"/>
            <w:noWrap w:val="0"/>
            <w:vAlign w:val="center"/>
          </w:tcPr>
          <w:p w14:paraId="64A5D5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763" w:type="dxa"/>
            <w:noWrap w:val="0"/>
            <w:vAlign w:val="center"/>
          </w:tcPr>
          <w:p w14:paraId="4A0FB46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因建设工程等特殊需要确需临时占用湿地的，应当经县级人民政府有关湿地保护管理部门批准。临时占用湿地的期限不得超过二年，不得修筑永久性建筑物。占用期满后，用地单位应当按照有关标准进行生态修复。</w:t>
            </w:r>
          </w:p>
          <w:p w14:paraId="7911648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2.在湿地内从事生产经营、观赏旅游、科学研究、调查观测、科普教育等活动，应当避免影响、降低湿地生态功能和对野生生物物种造成损害。</w:t>
            </w:r>
          </w:p>
          <w:p w14:paraId="0A263BC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在河道管理范围内进行下列活动，必须报经河道主管机关批准；涉及其他部门的，由河道主管机关会同有关部门批准：采砂、取土、淘金、弃置砂石或者淤泥；爆破、钻探、挖筑鱼塘；在河道滩地存放物料、修建厂房或者其他建筑设施；在河道滩地开采地下资源及进行考古发掘。</w:t>
            </w:r>
          </w:p>
          <w:p w14:paraId="25BE6C3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4.向河道、湖泊排污的排污口的设置和扩大，排污单位在向生态环境部门申报之前，应当征得河道主管机关的同意。</w:t>
            </w:r>
          </w:p>
        </w:tc>
        <w:tc>
          <w:tcPr>
            <w:tcW w:w="1267" w:type="dxa"/>
            <w:vMerge w:val="continue"/>
            <w:noWrap w:val="0"/>
            <w:vAlign w:val="center"/>
          </w:tcPr>
          <w:p w14:paraId="23BF0179">
            <w:pPr>
              <w:widowControl/>
              <w:spacing w:line="0" w:lineRule="atLeast"/>
              <w:jc w:val="center"/>
              <w:rPr>
                <w:rFonts w:ascii="仿宋" w:hAnsi="仿宋" w:eastAsia="仿宋" w:cs="仿宋"/>
                <w:bCs/>
                <w:spacing w:val="-10"/>
                <w:kern w:val="0"/>
                <w:sz w:val="24"/>
              </w:rPr>
            </w:pPr>
          </w:p>
        </w:tc>
      </w:tr>
    </w:tbl>
    <w:p w14:paraId="3A880C4C">
      <w:pPr>
        <w:pStyle w:val="10"/>
        <w:numPr>
          <w:ilvl w:val="1"/>
          <w:numId w:val="0"/>
        </w:numPr>
        <w:spacing w:before="240"/>
        <w:ind w:firstLine="640" w:firstLineChars="200"/>
        <w:outlineLvl w:val="1"/>
        <w:rPr>
          <w:rFonts w:ascii="仿宋" w:hAnsi="仿宋" w:eastAsia="仿宋" w:cs="仿宋"/>
          <w:bCs/>
          <w:sz w:val="32"/>
          <w:szCs w:val="18"/>
        </w:rPr>
      </w:pPr>
      <w:r>
        <w:rPr>
          <w:rFonts w:hint="eastAsia" w:ascii="仿宋" w:hAnsi="仿宋" w:eastAsia="仿宋" w:cs="仿宋"/>
          <w:bCs/>
          <w:sz w:val="32"/>
          <w:szCs w:val="18"/>
        </w:rPr>
        <w:t>（二）全市各类自然保护地总体准入要求</w:t>
      </w:r>
    </w:p>
    <w:p w14:paraId="0DC58B58">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表1.2    </w:t>
      </w:r>
      <w:r>
        <w:rPr>
          <w:rFonts w:hint="eastAsia" w:ascii="仿宋" w:hAnsi="仿宋" w:eastAsia="仿宋" w:cs="仿宋"/>
          <w:b/>
          <w:bCs/>
          <w:sz w:val="32"/>
          <w:szCs w:val="32"/>
        </w:rPr>
        <w:t>全市各类自然保护地总体管控要求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74"/>
        <w:gridCol w:w="425"/>
        <w:gridCol w:w="730"/>
        <w:gridCol w:w="5917"/>
        <w:gridCol w:w="1255"/>
      </w:tblGrid>
      <w:tr w14:paraId="7AC6E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74" w:type="dxa"/>
            <w:shd w:val="clear" w:color="auto" w:fill="D7D7D7"/>
            <w:noWrap w:val="0"/>
            <w:vAlign w:val="center"/>
          </w:tcPr>
          <w:p w14:paraId="6CB1337A">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属性</w:t>
            </w:r>
          </w:p>
        </w:tc>
        <w:tc>
          <w:tcPr>
            <w:tcW w:w="1155" w:type="dxa"/>
            <w:gridSpan w:val="2"/>
            <w:shd w:val="clear" w:color="auto" w:fill="D7D7D7"/>
            <w:noWrap w:val="0"/>
            <w:vAlign w:val="center"/>
          </w:tcPr>
          <w:p w14:paraId="78C64FF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w:t>
            </w:r>
          </w:p>
        </w:tc>
        <w:tc>
          <w:tcPr>
            <w:tcW w:w="5917" w:type="dxa"/>
            <w:shd w:val="clear" w:color="auto" w:fill="D7D7D7"/>
            <w:noWrap w:val="0"/>
            <w:vAlign w:val="center"/>
          </w:tcPr>
          <w:p w14:paraId="125D820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255" w:type="dxa"/>
            <w:shd w:val="clear" w:color="auto" w:fill="D7D7D7"/>
            <w:noWrap w:val="0"/>
            <w:vAlign w:val="center"/>
          </w:tcPr>
          <w:p w14:paraId="28A35FA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06FE8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restart"/>
            <w:noWrap w:val="0"/>
            <w:vAlign w:val="center"/>
          </w:tcPr>
          <w:p w14:paraId="38A80F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自然保护区</w:t>
            </w:r>
          </w:p>
        </w:tc>
        <w:tc>
          <w:tcPr>
            <w:tcW w:w="425" w:type="dxa"/>
            <w:vMerge w:val="restart"/>
            <w:noWrap w:val="0"/>
            <w:vAlign w:val="center"/>
          </w:tcPr>
          <w:p w14:paraId="4131B9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730" w:type="dxa"/>
            <w:noWrap w:val="0"/>
            <w:vAlign w:val="center"/>
          </w:tcPr>
          <w:p w14:paraId="3EB6FEF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917" w:type="dxa"/>
            <w:noWrap w:val="0"/>
            <w:vAlign w:val="center"/>
          </w:tcPr>
          <w:p w14:paraId="1DAFAD6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1.禁止在自然保护区内进行砍伐、放牧、狩猎、捕捞、采药、开垦、烧荒、开矿、采石、挖沙等活动；但是，法律、行政法规另有规定的除外。</w:t>
            </w:r>
          </w:p>
          <w:p w14:paraId="03B3E7B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自然保护区核心区内原有居民确有必要迁出的，由自然保护区所在地的地方人民政府予以妥善安置。</w:t>
            </w:r>
          </w:p>
          <w:p w14:paraId="478895C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14:paraId="4C15985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4.在自然保护区的核心区和缓冲区内，不得建设任何生产设施。</w:t>
            </w:r>
          </w:p>
        </w:tc>
        <w:tc>
          <w:tcPr>
            <w:tcW w:w="1255" w:type="dxa"/>
            <w:vMerge w:val="restart"/>
            <w:noWrap w:val="0"/>
            <w:vAlign w:val="center"/>
          </w:tcPr>
          <w:p w14:paraId="05CB640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《中华人民共和国自然保护区条例》（2017年修订）</w:t>
            </w:r>
          </w:p>
        </w:tc>
      </w:tr>
      <w:tr w14:paraId="3C09E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continue"/>
            <w:noWrap w:val="0"/>
            <w:vAlign w:val="center"/>
          </w:tcPr>
          <w:p w14:paraId="61C1FB52">
            <w:pPr>
              <w:widowControl/>
              <w:spacing w:line="0" w:lineRule="atLeast"/>
              <w:jc w:val="center"/>
              <w:rPr>
                <w:rFonts w:ascii="仿宋" w:hAnsi="仿宋" w:eastAsia="仿宋" w:cs="仿宋"/>
                <w:bCs/>
                <w:spacing w:val="-10"/>
                <w:kern w:val="0"/>
                <w:sz w:val="24"/>
              </w:rPr>
            </w:pPr>
          </w:p>
        </w:tc>
        <w:tc>
          <w:tcPr>
            <w:tcW w:w="425" w:type="dxa"/>
            <w:vMerge w:val="continue"/>
            <w:noWrap w:val="0"/>
            <w:vAlign w:val="center"/>
          </w:tcPr>
          <w:p w14:paraId="37DF2447">
            <w:pPr>
              <w:widowControl/>
              <w:spacing w:line="0" w:lineRule="atLeast"/>
              <w:jc w:val="center"/>
              <w:rPr>
                <w:rFonts w:ascii="仿宋" w:hAnsi="仿宋" w:eastAsia="仿宋" w:cs="仿宋"/>
                <w:bCs/>
                <w:spacing w:val="-10"/>
                <w:kern w:val="0"/>
                <w:sz w:val="24"/>
              </w:rPr>
            </w:pPr>
          </w:p>
        </w:tc>
        <w:tc>
          <w:tcPr>
            <w:tcW w:w="730" w:type="dxa"/>
            <w:noWrap w:val="0"/>
            <w:vAlign w:val="center"/>
          </w:tcPr>
          <w:p w14:paraId="06B8018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917" w:type="dxa"/>
            <w:noWrap w:val="0"/>
            <w:vAlign w:val="center"/>
          </w:tcPr>
          <w:p w14:paraId="4CB0B29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1.在自然保护区组织参观、旅游活动的，应当严格按照前款规定的方案进行，并加强管理；进入自然保护区参观、旅游的单位和个人，应当服从自然保护区管理机构的管理。</w:t>
            </w:r>
          </w:p>
          <w:p w14:paraId="12522AE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2.在自然保护区的外围保护地带建设的项目，不得损害自然保护区内的环境质量；已造成损害的，应当限期治理。限期治理决定由法律、法规规定的机关作出，被限期治理的企业事业单位必须按期完成治理任务。</w:t>
            </w:r>
          </w:p>
        </w:tc>
        <w:tc>
          <w:tcPr>
            <w:tcW w:w="1255" w:type="dxa"/>
            <w:vMerge w:val="continue"/>
            <w:noWrap w:val="0"/>
            <w:vAlign w:val="center"/>
          </w:tcPr>
          <w:p w14:paraId="7C9943D4">
            <w:pPr>
              <w:widowControl/>
              <w:spacing w:line="0" w:lineRule="atLeast"/>
              <w:jc w:val="center"/>
              <w:rPr>
                <w:rFonts w:ascii="仿宋" w:hAnsi="仿宋" w:eastAsia="仿宋" w:cs="仿宋"/>
                <w:bCs/>
                <w:spacing w:val="-10"/>
                <w:kern w:val="0"/>
                <w:sz w:val="24"/>
              </w:rPr>
            </w:pPr>
          </w:p>
        </w:tc>
      </w:tr>
      <w:tr w14:paraId="6F97A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restart"/>
            <w:noWrap w:val="0"/>
            <w:vAlign w:val="center"/>
          </w:tcPr>
          <w:p w14:paraId="6F8744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风景名胜区</w:t>
            </w:r>
          </w:p>
        </w:tc>
        <w:tc>
          <w:tcPr>
            <w:tcW w:w="425" w:type="dxa"/>
            <w:vMerge w:val="restart"/>
            <w:noWrap w:val="0"/>
            <w:vAlign w:val="center"/>
          </w:tcPr>
          <w:p w14:paraId="0D3091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730" w:type="dxa"/>
            <w:noWrap w:val="0"/>
            <w:vAlign w:val="center"/>
          </w:tcPr>
          <w:p w14:paraId="65957FD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917" w:type="dxa"/>
            <w:noWrap w:val="0"/>
            <w:vAlign w:val="center"/>
          </w:tcPr>
          <w:p w14:paraId="032CE55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在风景名胜区内禁止进行下列活动：开山、采石、开矿、开荒、修坟立碑等破坏景观、植被和地形地貌的活动；修建储存爆炸性、易燃性、放射性、毒害性、腐蚀性物品的设施；在景物或者设施上刻划、涂污；乱扔垃圾；排放、倾倒污染环境的废水、废气和废渣；采伐、毁坏古树名木。</w:t>
            </w:r>
          </w:p>
          <w:p w14:paraId="4E4F118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禁止违反风景名胜区规划，在风景名胜区内设立各类开发区和在核心景区内建设宾馆、招待所、培训中心、疗养院以及与风景名胜资源保护无关的其他建筑物；已经建设的，应当按照风景名胜区规划，逐步迁出。</w:t>
            </w:r>
          </w:p>
          <w:p w14:paraId="1DB8E30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3.风景名胜区外围保护地带不得建设影响景观、污染环境的工业设施或者场所。</w:t>
            </w:r>
          </w:p>
        </w:tc>
        <w:tc>
          <w:tcPr>
            <w:tcW w:w="1255" w:type="dxa"/>
            <w:vMerge w:val="restart"/>
            <w:noWrap w:val="0"/>
            <w:vAlign w:val="center"/>
          </w:tcPr>
          <w:p w14:paraId="094E60F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《中华人民共和国风景名胜区条例》（中华人民共和国国务院令第474号）、《河北省风景名胜区条例》（2015年1月1日起实施）</w:t>
            </w:r>
          </w:p>
        </w:tc>
      </w:tr>
      <w:tr w14:paraId="7D143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continue"/>
            <w:noWrap w:val="0"/>
            <w:vAlign w:val="center"/>
          </w:tcPr>
          <w:p w14:paraId="1FFD12AB">
            <w:pPr>
              <w:widowControl/>
              <w:spacing w:line="0" w:lineRule="atLeast"/>
              <w:jc w:val="center"/>
              <w:rPr>
                <w:rFonts w:ascii="仿宋" w:hAnsi="仿宋" w:eastAsia="仿宋" w:cs="仿宋"/>
                <w:bCs/>
                <w:spacing w:val="-10"/>
                <w:kern w:val="0"/>
                <w:sz w:val="24"/>
              </w:rPr>
            </w:pPr>
          </w:p>
        </w:tc>
        <w:tc>
          <w:tcPr>
            <w:tcW w:w="425" w:type="dxa"/>
            <w:vMerge w:val="continue"/>
            <w:noWrap w:val="0"/>
            <w:vAlign w:val="center"/>
          </w:tcPr>
          <w:p w14:paraId="652398A6">
            <w:pPr>
              <w:widowControl/>
              <w:spacing w:line="0" w:lineRule="atLeast"/>
              <w:jc w:val="center"/>
              <w:rPr>
                <w:rFonts w:ascii="仿宋" w:hAnsi="仿宋" w:eastAsia="仿宋" w:cs="仿宋"/>
                <w:bCs/>
                <w:spacing w:val="-10"/>
                <w:kern w:val="0"/>
                <w:sz w:val="24"/>
              </w:rPr>
            </w:pPr>
          </w:p>
        </w:tc>
        <w:tc>
          <w:tcPr>
            <w:tcW w:w="730" w:type="dxa"/>
            <w:noWrap w:val="0"/>
            <w:vAlign w:val="center"/>
          </w:tcPr>
          <w:p w14:paraId="157128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917" w:type="dxa"/>
            <w:noWrap w:val="0"/>
            <w:vAlign w:val="center"/>
          </w:tcPr>
          <w:p w14:paraId="33807BC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1.在风景名胜区内进行建设活动的，建设单位、施工单位应当制定污染防治和水土保持方案，并采取有效措施，保护好周围景物、水体、林草植被、野生动物资源和地形地貌。</w:t>
            </w:r>
          </w:p>
          <w:p w14:paraId="2D71335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2.在风景名胜区内从事影视拍摄等影响生态和景观的活动，应当经风景名胜区管理机构审核后，依照有关法律、法规的规定报有关主管部门批准。</w:t>
            </w:r>
          </w:p>
          <w:p w14:paraId="367A171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风景名胜区内居民的生产生活方式应当有利于保护风景名胜资源和传承当地民俗风貌。在风景名胜区内新建居民住宅，应当在规划确定的居住用地范围内依法建设。规划确定需要拆除的居民住宅，不得翻建、改建、扩建。</w:t>
            </w:r>
          </w:p>
        </w:tc>
        <w:tc>
          <w:tcPr>
            <w:tcW w:w="1255" w:type="dxa"/>
            <w:vMerge w:val="continue"/>
            <w:noWrap w:val="0"/>
            <w:vAlign w:val="center"/>
          </w:tcPr>
          <w:p w14:paraId="2E1E81E4">
            <w:pPr>
              <w:widowControl/>
              <w:spacing w:line="0" w:lineRule="atLeast"/>
              <w:jc w:val="center"/>
              <w:rPr>
                <w:rFonts w:ascii="仿宋" w:hAnsi="仿宋" w:eastAsia="仿宋" w:cs="仿宋"/>
                <w:bCs/>
                <w:spacing w:val="-10"/>
                <w:kern w:val="0"/>
                <w:sz w:val="24"/>
              </w:rPr>
            </w:pPr>
          </w:p>
        </w:tc>
      </w:tr>
      <w:tr w14:paraId="097A8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restart"/>
            <w:noWrap w:val="0"/>
            <w:vAlign w:val="center"/>
          </w:tcPr>
          <w:p w14:paraId="4F84DC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湿地公园</w:t>
            </w:r>
          </w:p>
        </w:tc>
        <w:tc>
          <w:tcPr>
            <w:tcW w:w="425" w:type="dxa"/>
            <w:vMerge w:val="restart"/>
            <w:noWrap w:val="0"/>
            <w:vAlign w:val="center"/>
          </w:tcPr>
          <w:p w14:paraId="014C788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730" w:type="dxa"/>
            <w:noWrap w:val="0"/>
            <w:vAlign w:val="center"/>
          </w:tcPr>
          <w:p w14:paraId="53F89A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917" w:type="dxa"/>
            <w:noWrap w:val="0"/>
            <w:vAlign w:val="center"/>
          </w:tcPr>
          <w:p w14:paraId="44C54F4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除法律法规有特别规定的以外，在湿地内禁止从事下列活动：开（围）垦、填埋或者排干湿地；永久性截断湿地水源；挖沙、采矿；倾倒有毒有害物质、废弃物、垃圾；破坏野生动物栖息地和迁徙通道、鱼类洄游通道，滥采滥捕野生动植物；引进外来物种；擅自放牧、捕捞、取土、取水、排污、放生；其他破坏湿地及其生态功能的活动。</w:t>
            </w:r>
          </w:p>
        </w:tc>
        <w:tc>
          <w:tcPr>
            <w:tcW w:w="1255" w:type="dxa"/>
            <w:vMerge w:val="restart"/>
            <w:noWrap w:val="0"/>
            <w:vAlign w:val="center"/>
          </w:tcPr>
          <w:p w14:paraId="160F61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《湿地保护管理规定》（国家林业局令第48号）、《河北省湿地保护条例》（2017年1月1日起实施）</w:t>
            </w:r>
          </w:p>
        </w:tc>
      </w:tr>
      <w:tr w14:paraId="5EED5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continue"/>
            <w:noWrap w:val="0"/>
            <w:vAlign w:val="center"/>
          </w:tcPr>
          <w:p w14:paraId="4C5F07FF">
            <w:pPr>
              <w:widowControl/>
              <w:spacing w:line="0" w:lineRule="atLeast"/>
              <w:jc w:val="center"/>
              <w:rPr>
                <w:rFonts w:ascii="仿宋" w:hAnsi="仿宋" w:eastAsia="仿宋" w:cs="仿宋"/>
                <w:b/>
                <w:spacing w:val="-10"/>
                <w:kern w:val="0"/>
                <w:sz w:val="24"/>
              </w:rPr>
            </w:pPr>
          </w:p>
        </w:tc>
        <w:tc>
          <w:tcPr>
            <w:tcW w:w="425" w:type="dxa"/>
            <w:vMerge w:val="continue"/>
            <w:noWrap w:val="0"/>
            <w:vAlign w:val="center"/>
          </w:tcPr>
          <w:p w14:paraId="4A55BF7C">
            <w:pPr>
              <w:widowControl/>
              <w:spacing w:line="0" w:lineRule="atLeast"/>
              <w:jc w:val="center"/>
              <w:rPr>
                <w:rFonts w:ascii="仿宋" w:hAnsi="仿宋" w:eastAsia="仿宋" w:cs="仿宋"/>
                <w:b/>
                <w:spacing w:val="-10"/>
                <w:kern w:val="0"/>
                <w:sz w:val="24"/>
              </w:rPr>
            </w:pPr>
          </w:p>
        </w:tc>
        <w:tc>
          <w:tcPr>
            <w:tcW w:w="730" w:type="dxa"/>
            <w:noWrap w:val="0"/>
            <w:vAlign w:val="center"/>
          </w:tcPr>
          <w:p w14:paraId="3427C7E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917" w:type="dxa"/>
            <w:noWrap w:val="0"/>
            <w:vAlign w:val="center"/>
          </w:tcPr>
          <w:p w14:paraId="71E61F3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在湿地内从事生产经营、观赏旅游、科学研究、调查观测、科普教育等活动，应当避免影响、降低湿地生态功能和对野生生物物种造成损害。</w:t>
            </w:r>
          </w:p>
        </w:tc>
        <w:tc>
          <w:tcPr>
            <w:tcW w:w="1255" w:type="dxa"/>
            <w:vMerge w:val="continue"/>
            <w:noWrap w:val="0"/>
            <w:vAlign w:val="center"/>
          </w:tcPr>
          <w:p w14:paraId="5DBD54DD">
            <w:pPr>
              <w:widowControl/>
              <w:spacing w:line="0" w:lineRule="atLeast"/>
              <w:jc w:val="center"/>
              <w:rPr>
                <w:rFonts w:ascii="仿宋" w:hAnsi="仿宋" w:eastAsia="仿宋" w:cs="仿宋"/>
                <w:bCs/>
                <w:spacing w:val="-10"/>
                <w:kern w:val="0"/>
                <w:sz w:val="24"/>
              </w:rPr>
            </w:pPr>
          </w:p>
        </w:tc>
      </w:tr>
      <w:tr w14:paraId="534EB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restart"/>
            <w:noWrap w:val="0"/>
            <w:vAlign w:val="center"/>
          </w:tcPr>
          <w:p w14:paraId="62F0D4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森林公园</w:t>
            </w:r>
          </w:p>
        </w:tc>
        <w:tc>
          <w:tcPr>
            <w:tcW w:w="425" w:type="dxa"/>
            <w:vMerge w:val="restart"/>
            <w:noWrap w:val="0"/>
            <w:vAlign w:val="center"/>
          </w:tcPr>
          <w:p w14:paraId="0C6CB3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730" w:type="dxa"/>
            <w:noWrap w:val="0"/>
            <w:vAlign w:val="center"/>
          </w:tcPr>
          <w:p w14:paraId="5597C6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917" w:type="dxa"/>
            <w:noWrap w:val="0"/>
            <w:vAlign w:val="center"/>
          </w:tcPr>
          <w:p w14:paraId="61C6C2EB">
            <w:pPr>
              <w:widowControl/>
              <w:spacing w:line="0" w:lineRule="atLeast"/>
              <w:ind w:firstLine="440" w:firstLineChars="200"/>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禁止擅自在国家级自然公园内从事采矿、房地产、开发区、高尔夫球场、风力光伏电场等不符合管控要求的开发活动。禁止违规侵占国家级自然公园，排放不符合水污染物排放标准的工业废水、生活污水及其他的废水、污水，倾倒、堆放、丢弃、遗撒固体废物等污染生态环境的行为。</w:t>
            </w:r>
          </w:p>
        </w:tc>
        <w:tc>
          <w:tcPr>
            <w:tcW w:w="1255" w:type="dxa"/>
            <w:vMerge w:val="restart"/>
            <w:noWrap w:val="0"/>
            <w:vAlign w:val="center"/>
          </w:tcPr>
          <w:p w14:paraId="7ED9D5D2">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国家林业和草原局关于印发《国家级自然公园管理办法（试行）》的通知</w:t>
            </w:r>
            <w:r>
              <w:rPr>
                <w:rFonts w:hint="eastAsia" w:ascii="仿宋" w:hAnsi="仿宋" w:eastAsia="仿宋" w:cs="仿宋"/>
                <w:bCs/>
                <w:color w:val="auto"/>
                <w:spacing w:val="-10"/>
                <w:kern w:val="0"/>
                <w:sz w:val="24"/>
                <w:lang w:eastAsia="zh-CN"/>
              </w:rPr>
              <w:t>（</w:t>
            </w:r>
            <w:r>
              <w:rPr>
                <w:rFonts w:hint="eastAsia" w:ascii="仿宋" w:hAnsi="仿宋" w:eastAsia="仿宋" w:cs="仿宋"/>
                <w:bCs/>
                <w:color w:val="auto"/>
                <w:spacing w:val="-10"/>
                <w:kern w:val="0"/>
                <w:sz w:val="24"/>
              </w:rPr>
              <w:t>林保规〔2023〕4号</w:t>
            </w:r>
            <w:r>
              <w:rPr>
                <w:rFonts w:hint="eastAsia" w:ascii="仿宋" w:hAnsi="仿宋" w:eastAsia="仿宋" w:cs="仿宋"/>
                <w:bCs/>
                <w:color w:val="auto"/>
                <w:spacing w:val="-10"/>
                <w:kern w:val="0"/>
                <w:sz w:val="24"/>
                <w:lang w:eastAsia="zh-CN"/>
              </w:rPr>
              <w:t>）</w:t>
            </w:r>
          </w:p>
        </w:tc>
      </w:tr>
      <w:tr w14:paraId="30037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continue"/>
            <w:noWrap w:val="0"/>
            <w:vAlign w:val="center"/>
          </w:tcPr>
          <w:p w14:paraId="778534C7">
            <w:pPr>
              <w:widowControl/>
              <w:spacing w:line="0" w:lineRule="atLeast"/>
              <w:jc w:val="center"/>
              <w:rPr>
                <w:rFonts w:ascii="仿宋" w:hAnsi="仿宋" w:eastAsia="仿宋" w:cs="仿宋"/>
                <w:bCs/>
                <w:spacing w:val="-10"/>
                <w:kern w:val="0"/>
                <w:sz w:val="24"/>
              </w:rPr>
            </w:pPr>
          </w:p>
        </w:tc>
        <w:tc>
          <w:tcPr>
            <w:tcW w:w="425" w:type="dxa"/>
            <w:vMerge w:val="continue"/>
            <w:noWrap w:val="0"/>
            <w:vAlign w:val="center"/>
          </w:tcPr>
          <w:p w14:paraId="12A446D6">
            <w:pPr>
              <w:widowControl/>
              <w:spacing w:line="0" w:lineRule="atLeast"/>
              <w:jc w:val="center"/>
              <w:rPr>
                <w:rFonts w:ascii="仿宋" w:hAnsi="仿宋" w:eastAsia="仿宋" w:cs="仿宋"/>
                <w:bCs/>
                <w:spacing w:val="-10"/>
                <w:kern w:val="0"/>
                <w:sz w:val="24"/>
              </w:rPr>
            </w:pPr>
          </w:p>
        </w:tc>
        <w:tc>
          <w:tcPr>
            <w:tcW w:w="730" w:type="dxa"/>
            <w:noWrap w:val="0"/>
            <w:vAlign w:val="center"/>
          </w:tcPr>
          <w:p w14:paraId="4066A8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917" w:type="dxa"/>
            <w:noWrap w:val="0"/>
            <w:vAlign w:val="center"/>
          </w:tcPr>
          <w:p w14:paraId="25ACDE3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国家级自然公园范围内除国家重大项目外，仅允许对生态功能不造成破坏的有限人为活动：</w:t>
            </w:r>
            <w:r>
              <w:rPr>
                <w:rFonts w:hint="eastAsia" w:ascii="仿宋" w:hAnsi="仿宋" w:eastAsia="仿宋" w:cs="仿宋"/>
                <w:bCs/>
                <w:spacing w:val="-10"/>
                <w:kern w:val="0"/>
                <w:sz w:val="24"/>
                <w:lang w:val="en-US" w:eastAsia="zh-CN"/>
              </w:rPr>
              <w:t>1.</w:t>
            </w:r>
            <w:r>
              <w:rPr>
                <w:rFonts w:hint="eastAsia" w:ascii="仿宋" w:hAnsi="仿宋" w:eastAsia="仿宋" w:cs="仿宋"/>
                <w:bCs/>
                <w:spacing w:val="-10"/>
                <w:kern w:val="0"/>
                <w:sz w:val="24"/>
              </w:rPr>
              <w:t>自然公园内居民和其他合法权益主体依法依规开展的生产生活及设施建设。</w:t>
            </w:r>
            <w:r>
              <w:rPr>
                <w:rFonts w:hint="eastAsia" w:ascii="仿宋" w:hAnsi="仿宋" w:eastAsia="仿宋" w:cs="仿宋"/>
                <w:bCs/>
                <w:spacing w:val="-10"/>
                <w:kern w:val="0"/>
                <w:sz w:val="24"/>
                <w:lang w:val="en-US" w:eastAsia="zh-CN"/>
              </w:rPr>
              <w:t>2.</w:t>
            </w:r>
            <w:r>
              <w:rPr>
                <w:rFonts w:hint="eastAsia" w:ascii="仿宋" w:hAnsi="仿宋" w:eastAsia="仿宋" w:cs="仿宋"/>
                <w:bCs/>
                <w:spacing w:val="-10"/>
                <w:kern w:val="0"/>
                <w:sz w:val="24"/>
              </w:rPr>
              <w:t>符合自然公园保护管理要求的文化、体育活动和必要的配套设施建设。</w:t>
            </w:r>
            <w:r>
              <w:rPr>
                <w:rFonts w:hint="eastAsia" w:ascii="仿宋" w:hAnsi="仿宋" w:eastAsia="仿宋" w:cs="仿宋"/>
                <w:bCs/>
                <w:spacing w:val="-10"/>
                <w:kern w:val="0"/>
                <w:sz w:val="24"/>
                <w:lang w:val="en-US" w:eastAsia="zh-CN"/>
              </w:rPr>
              <w:t>3.</w:t>
            </w:r>
            <w:r>
              <w:rPr>
                <w:rFonts w:hint="eastAsia" w:ascii="仿宋" w:hAnsi="仿宋" w:eastAsia="仿宋" w:cs="仿宋"/>
                <w:bCs/>
                <w:spacing w:val="-10"/>
                <w:kern w:val="0"/>
                <w:sz w:val="24"/>
              </w:rPr>
              <w:t>符合生态保护红线管控要求的其他活动和设施建设。</w:t>
            </w:r>
            <w:r>
              <w:rPr>
                <w:rFonts w:hint="eastAsia" w:ascii="仿宋" w:hAnsi="仿宋" w:eastAsia="仿宋" w:cs="仿宋"/>
                <w:bCs/>
                <w:spacing w:val="-10"/>
                <w:kern w:val="0"/>
                <w:sz w:val="24"/>
                <w:lang w:val="en-US" w:eastAsia="zh-CN"/>
              </w:rPr>
              <w:t>4.</w:t>
            </w:r>
            <w:r>
              <w:rPr>
                <w:rFonts w:hint="eastAsia" w:ascii="仿宋" w:hAnsi="仿宋" w:eastAsia="仿宋" w:cs="仿宋"/>
                <w:bCs/>
                <w:spacing w:val="-10"/>
                <w:kern w:val="0"/>
                <w:sz w:val="24"/>
              </w:rPr>
              <w:t>法律法规和国家政策允许在自然公园内开展的其他活动。</w:t>
            </w:r>
          </w:p>
        </w:tc>
        <w:tc>
          <w:tcPr>
            <w:tcW w:w="1255" w:type="dxa"/>
            <w:vMerge w:val="continue"/>
            <w:noWrap w:val="0"/>
            <w:vAlign w:val="center"/>
          </w:tcPr>
          <w:p w14:paraId="0CD02097">
            <w:pPr>
              <w:widowControl/>
              <w:spacing w:line="0" w:lineRule="atLeast"/>
              <w:jc w:val="center"/>
              <w:rPr>
                <w:rFonts w:ascii="仿宋" w:hAnsi="仿宋" w:eastAsia="仿宋" w:cs="仿宋"/>
                <w:bCs/>
                <w:spacing w:val="-10"/>
                <w:kern w:val="0"/>
                <w:sz w:val="24"/>
              </w:rPr>
            </w:pPr>
          </w:p>
        </w:tc>
      </w:tr>
      <w:tr w14:paraId="2A55B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restart"/>
            <w:noWrap w:val="0"/>
            <w:vAlign w:val="center"/>
          </w:tcPr>
          <w:p w14:paraId="10B692D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地质公园</w:t>
            </w:r>
          </w:p>
        </w:tc>
        <w:tc>
          <w:tcPr>
            <w:tcW w:w="425" w:type="dxa"/>
            <w:vMerge w:val="restart"/>
            <w:noWrap w:val="0"/>
            <w:vAlign w:val="center"/>
          </w:tcPr>
          <w:p w14:paraId="02D5D9B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w:t>
            </w:r>
          </w:p>
          <w:p w14:paraId="092A48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布局</w:t>
            </w:r>
          </w:p>
        </w:tc>
        <w:tc>
          <w:tcPr>
            <w:tcW w:w="730" w:type="dxa"/>
            <w:noWrap w:val="0"/>
            <w:vAlign w:val="center"/>
          </w:tcPr>
          <w:p w14:paraId="23C50D2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禁止类活动</w:t>
            </w:r>
          </w:p>
        </w:tc>
        <w:tc>
          <w:tcPr>
            <w:tcW w:w="5917" w:type="dxa"/>
            <w:noWrap w:val="0"/>
            <w:vAlign w:val="center"/>
          </w:tcPr>
          <w:p w14:paraId="580B971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1.任何单位和个人不得在保护区内及可能对地质遗迹造成影响的一定范围内进行采石、取土、开矿、放牧、砍伐以及其他对保护对象有损害的活动。未经管理机构批准，不得在保护区范围内采集标本和化石。</w:t>
            </w:r>
          </w:p>
          <w:p w14:paraId="721E4F97">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2.不得在保护区内修建与地质遗迹保护无关的厂房或其他建筑设施；对已建成并可能对地质遗迹造成污染或破坏的设施，应限期治理或停业外迁。</w:t>
            </w:r>
          </w:p>
        </w:tc>
        <w:tc>
          <w:tcPr>
            <w:tcW w:w="1255" w:type="dxa"/>
            <w:vMerge w:val="restart"/>
            <w:noWrap w:val="0"/>
            <w:vAlign w:val="center"/>
          </w:tcPr>
          <w:p w14:paraId="292C39A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r>
              <w:rPr>
                <w:rFonts w:hint="eastAsia" w:ascii="仿宋" w:hAnsi="仿宋" w:eastAsia="仿宋" w:cs="仿宋"/>
                <w:bCs/>
                <w:spacing w:val="-10"/>
                <w:kern w:val="0"/>
                <w:sz w:val="24"/>
                <w:lang w:val="zh-CN"/>
              </w:rPr>
              <w:t>地质遗迹保护管理规定</w:t>
            </w:r>
            <w:r>
              <w:rPr>
                <w:rFonts w:hint="eastAsia" w:ascii="仿宋" w:hAnsi="仿宋" w:eastAsia="仿宋" w:cs="仿宋"/>
                <w:bCs/>
                <w:spacing w:val="-10"/>
                <w:kern w:val="0"/>
                <w:sz w:val="24"/>
              </w:rPr>
              <w:t>》（地质矿产部令第21号）</w:t>
            </w:r>
          </w:p>
        </w:tc>
      </w:tr>
      <w:tr w14:paraId="23D3B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74" w:type="dxa"/>
            <w:vMerge w:val="continue"/>
            <w:noWrap w:val="0"/>
            <w:vAlign w:val="center"/>
          </w:tcPr>
          <w:p w14:paraId="7861BE58">
            <w:pPr>
              <w:widowControl/>
              <w:spacing w:line="0" w:lineRule="atLeast"/>
              <w:jc w:val="center"/>
              <w:rPr>
                <w:rFonts w:ascii="仿宋" w:hAnsi="仿宋" w:eastAsia="仿宋" w:cs="仿宋"/>
                <w:bCs/>
                <w:spacing w:val="-10"/>
                <w:kern w:val="0"/>
                <w:sz w:val="24"/>
              </w:rPr>
            </w:pPr>
          </w:p>
        </w:tc>
        <w:tc>
          <w:tcPr>
            <w:tcW w:w="425" w:type="dxa"/>
            <w:vMerge w:val="continue"/>
            <w:noWrap w:val="0"/>
            <w:vAlign w:val="center"/>
          </w:tcPr>
          <w:p w14:paraId="00C47C80">
            <w:pPr>
              <w:widowControl/>
              <w:spacing w:line="0" w:lineRule="atLeast"/>
              <w:jc w:val="center"/>
              <w:rPr>
                <w:rFonts w:ascii="仿宋" w:hAnsi="仿宋" w:eastAsia="仿宋" w:cs="仿宋"/>
                <w:bCs/>
                <w:spacing w:val="-10"/>
                <w:kern w:val="0"/>
                <w:sz w:val="24"/>
              </w:rPr>
            </w:pPr>
          </w:p>
        </w:tc>
        <w:tc>
          <w:tcPr>
            <w:tcW w:w="730" w:type="dxa"/>
            <w:noWrap w:val="0"/>
            <w:vAlign w:val="center"/>
          </w:tcPr>
          <w:p w14:paraId="6DD57C8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允许类活动相关要求</w:t>
            </w:r>
          </w:p>
        </w:tc>
        <w:tc>
          <w:tcPr>
            <w:tcW w:w="5917" w:type="dxa"/>
            <w:noWrap w:val="0"/>
            <w:vAlign w:val="center"/>
          </w:tcPr>
          <w:p w14:paraId="5B0CBC5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1.对国际或国内具有极为罕见和重要科学价值的地质遗迹实施一级保护，非经批准不得入内。经设立该级地质遗迹保护区的人民政府地质矿产行政主管部门批准，可组织进行参观、科研或国际交往。</w:t>
            </w:r>
          </w:p>
          <w:p w14:paraId="16D72C3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2.对大区域范围内具有重要科学价值的地质遗迹实施二级保护。经设立该级地质遗迹保护区的人民政府地质矿产行政主管部门批准，可有组织地进行科研、教学、学术交流及适当的旅游活动。</w:t>
            </w:r>
          </w:p>
          <w:p w14:paraId="0FD9DA29">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3.对具一定价值的地质遗迹实施三级保护。经设立该级地质遗迹保护区的人民政府地质矿产行政主管部门批准，可组织开展旅游活动。</w:t>
            </w:r>
          </w:p>
        </w:tc>
        <w:tc>
          <w:tcPr>
            <w:tcW w:w="1255" w:type="dxa"/>
            <w:vMerge w:val="continue"/>
            <w:noWrap w:val="0"/>
            <w:vAlign w:val="center"/>
          </w:tcPr>
          <w:p w14:paraId="59E8DA22">
            <w:pPr>
              <w:widowControl/>
              <w:spacing w:line="0" w:lineRule="atLeast"/>
              <w:jc w:val="center"/>
              <w:rPr>
                <w:rFonts w:ascii="仿宋" w:hAnsi="仿宋" w:eastAsia="仿宋" w:cs="仿宋"/>
                <w:bCs/>
                <w:spacing w:val="-10"/>
                <w:kern w:val="0"/>
                <w:sz w:val="24"/>
              </w:rPr>
            </w:pPr>
          </w:p>
        </w:tc>
      </w:tr>
    </w:tbl>
    <w:p w14:paraId="01F60BF6">
      <w:pPr>
        <w:pStyle w:val="10"/>
        <w:numPr>
          <w:ilvl w:val="1"/>
          <w:numId w:val="0"/>
        </w:numPr>
        <w:spacing w:before="240"/>
        <w:ind w:firstLine="640" w:firstLineChars="200"/>
        <w:outlineLvl w:val="1"/>
        <w:rPr>
          <w:rFonts w:ascii="仿宋" w:hAnsi="仿宋" w:eastAsia="仿宋" w:cs="仿宋"/>
          <w:bCs/>
          <w:sz w:val="32"/>
          <w:szCs w:val="18"/>
        </w:rPr>
      </w:pPr>
      <w:r>
        <w:rPr>
          <w:rFonts w:hint="eastAsia" w:ascii="仿宋" w:hAnsi="仿宋" w:eastAsia="仿宋" w:cs="仿宋"/>
          <w:bCs/>
          <w:sz w:val="32"/>
          <w:szCs w:val="18"/>
        </w:rPr>
        <w:t>（三）全市大气环境总体管控要求</w:t>
      </w:r>
    </w:p>
    <w:p w14:paraId="65415450">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表1.3  </w:t>
      </w:r>
      <w:r>
        <w:rPr>
          <w:rFonts w:hint="eastAsia" w:ascii="仿宋" w:hAnsi="仿宋" w:eastAsia="仿宋" w:cs="仿宋"/>
          <w:b/>
          <w:bCs/>
          <w:sz w:val="32"/>
          <w:szCs w:val="32"/>
        </w:rPr>
        <w:t xml:space="preserve">  全市大气环境总体管控要求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62"/>
        <w:gridCol w:w="6237"/>
        <w:gridCol w:w="1502"/>
      </w:tblGrid>
      <w:tr w14:paraId="052EB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162" w:type="dxa"/>
            <w:shd w:val="clear" w:color="auto" w:fill="D7D7D7"/>
            <w:noWrap w:val="0"/>
            <w:vAlign w:val="center"/>
          </w:tcPr>
          <w:p w14:paraId="1AD7252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管控维度</w:t>
            </w:r>
          </w:p>
        </w:tc>
        <w:tc>
          <w:tcPr>
            <w:tcW w:w="6237" w:type="dxa"/>
            <w:shd w:val="clear" w:color="auto" w:fill="D7D7D7"/>
            <w:noWrap w:val="0"/>
            <w:vAlign w:val="center"/>
          </w:tcPr>
          <w:p w14:paraId="75B41BF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502" w:type="dxa"/>
            <w:shd w:val="clear" w:color="auto" w:fill="D7D7D7"/>
            <w:noWrap w:val="0"/>
            <w:vAlign w:val="center"/>
          </w:tcPr>
          <w:p w14:paraId="2235F88B">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5F9F7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5B6BCF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污染物防控目标</w:t>
            </w:r>
          </w:p>
        </w:tc>
        <w:tc>
          <w:tcPr>
            <w:tcW w:w="6237" w:type="dxa"/>
            <w:noWrap w:val="0"/>
            <w:vAlign w:val="center"/>
          </w:tcPr>
          <w:p w14:paraId="3298F83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2025年SO</w:t>
            </w:r>
            <w:r>
              <w:rPr>
                <w:rFonts w:hint="eastAsia" w:ascii="仿宋" w:hAnsi="仿宋" w:eastAsia="仿宋" w:cs="仿宋"/>
                <w:bCs/>
                <w:spacing w:val="-10"/>
                <w:kern w:val="0"/>
                <w:sz w:val="24"/>
                <w:vertAlign w:val="subscript"/>
              </w:rPr>
              <w:t>2</w:t>
            </w:r>
            <w:r>
              <w:rPr>
                <w:rFonts w:hint="eastAsia" w:ascii="仿宋" w:hAnsi="仿宋" w:eastAsia="仿宋" w:cs="仿宋"/>
                <w:bCs/>
                <w:spacing w:val="-10"/>
                <w:kern w:val="0"/>
                <w:sz w:val="24"/>
              </w:rPr>
              <w:t>、NO</w:t>
            </w:r>
            <w:r>
              <w:rPr>
                <w:rFonts w:hint="eastAsia" w:ascii="仿宋" w:hAnsi="仿宋" w:eastAsia="仿宋" w:cs="仿宋"/>
                <w:bCs/>
                <w:spacing w:val="-10"/>
                <w:kern w:val="0"/>
                <w:sz w:val="24"/>
                <w:vertAlign w:val="subscript"/>
              </w:rPr>
              <w:t>2</w:t>
            </w:r>
            <w:r>
              <w:rPr>
                <w:rFonts w:hint="eastAsia" w:ascii="仿宋" w:hAnsi="仿宋" w:eastAsia="仿宋" w:cs="仿宋"/>
                <w:bCs/>
                <w:spacing w:val="-10"/>
                <w:kern w:val="0"/>
                <w:sz w:val="24"/>
              </w:rPr>
              <w:t>、PM</w:t>
            </w:r>
            <w:r>
              <w:rPr>
                <w:rFonts w:hint="eastAsia" w:ascii="仿宋" w:hAnsi="仿宋" w:eastAsia="仿宋" w:cs="仿宋"/>
                <w:bCs/>
                <w:spacing w:val="-10"/>
                <w:kern w:val="0"/>
                <w:sz w:val="24"/>
                <w:vertAlign w:val="subscript"/>
              </w:rPr>
              <w:t>2.5</w:t>
            </w:r>
            <w:r>
              <w:rPr>
                <w:rFonts w:hint="eastAsia" w:ascii="仿宋" w:hAnsi="仿宋" w:eastAsia="仿宋" w:cs="仿宋"/>
                <w:bCs/>
                <w:spacing w:val="-10"/>
                <w:kern w:val="0"/>
                <w:sz w:val="24"/>
              </w:rPr>
              <w:t>年均浓度分别达到20微克/立方米、38微克/立方米、42微克/立方米，遏制O</w:t>
            </w:r>
            <w:r>
              <w:rPr>
                <w:rFonts w:hint="eastAsia" w:ascii="仿宋" w:hAnsi="仿宋" w:eastAsia="仿宋" w:cs="仿宋"/>
                <w:bCs/>
                <w:spacing w:val="-10"/>
                <w:kern w:val="0"/>
                <w:sz w:val="24"/>
                <w:vertAlign w:val="subscript"/>
              </w:rPr>
              <w:t>3</w:t>
            </w:r>
            <w:r>
              <w:rPr>
                <w:rFonts w:hint="eastAsia" w:ascii="仿宋" w:hAnsi="仿宋" w:eastAsia="仿宋" w:cs="仿宋"/>
                <w:bCs/>
                <w:spacing w:val="-10"/>
                <w:kern w:val="0"/>
                <w:sz w:val="24"/>
              </w:rPr>
              <w:t>恶化态势，优良天数比例控制在58%以上。</w:t>
            </w:r>
          </w:p>
          <w:p w14:paraId="07D934D7">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2035年SO</w:t>
            </w:r>
            <w:r>
              <w:rPr>
                <w:rFonts w:hint="eastAsia" w:ascii="仿宋" w:hAnsi="仿宋" w:eastAsia="仿宋" w:cs="仿宋"/>
                <w:bCs/>
                <w:spacing w:val="-10"/>
                <w:kern w:val="0"/>
                <w:sz w:val="24"/>
                <w:vertAlign w:val="subscript"/>
              </w:rPr>
              <w:t>2</w:t>
            </w:r>
            <w:r>
              <w:rPr>
                <w:rFonts w:hint="eastAsia" w:ascii="仿宋" w:hAnsi="仿宋" w:eastAsia="仿宋" w:cs="仿宋"/>
                <w:bCs/>
                <w:spacing w:val="-10"/>
                <w:kern w:val="0"/>
                <w:sz w:val="24"/>
              </w:rPr>
              <w:t>、NO</w:t>
            </w:r>
            <w:r>
              <w:rPr>
                <w:rFonts w:hint="eastAsia" w:ascii="仿宋" w:hAnsi="仿宋" w:eastAsia="仿宋" w:cs="仿宋"/>
                <w:bCs/>
                <w:spacing w:val="-10"/>
                <w:kern w:val="0"/>
                <w:sz w:val="24"/>
                <w:vertAlign w:val="subscript"/>
              </w:rPr>
              <w:t>2</w:t>
            </w:r>
            <w:r>
              <w:rPr>
                <w:rFonts w:hint="eastAsia" w:ascii="仿宋" w:hAnsi="仿宋" w:eastAsia="仿宋" w:cs="仿宋"/>
                <w:bCs/>
                <w:spacing w:val="-10"/>
                <w:kern w:val="0"/>
                <w:sz w:val="24"/>
              </w:rPr>
              <w:t>、PM</w:t>
            </w:r>
            <w:r>
              <w:rPr>
                <w:rFonts w:hint="eastAsia" w:ascii="仿宋" w:hAnsi="仿宋" w:eastAsia="仿宋" w:cs="仿宋"/>
                <w:bCs/>
                <w:spacing w:val="-10"/>
                <w:kern w:val="0"/>
                <w:sz w:val="24"/>
                <w:vertAlign w:val="subscript"/>
              </w:rPr>
              <w:t>2.5</w:t>
            </w:r>
            <w:r>
              <w:rPr>
                <w:rFonts w:hint="eastAsia" w:ascii="仿宋" w:hAnsi="仿宋" w:eastAsia="仿宋" w:cs="仿宋"/>
                <w:bCs/>
                <w:spacing w:val="-10"/>
                <w:kern w:val="0"/>
                <w:sz w:val="24"/>
              </w:rPr>
              <w:t>年均浓度分别达到20微克/立方米、38微克/立方米、35微克/立方米，O</w:t>
            </w:r>
            <w:r>
              <w:rPr>
                <w:rFonts w:hint="eastAsia" w:ascii="仿宋" w:hAnsi="仿宋" w:eastAsia="仿宋" w:cs="仿宋"/>
                <w:bCs/>
                <w:spacing w:val="-10"/>
                <w:kern w:val="0"/>
                <w:sz w:val="24"/>
                <w:vertAlign w:val="subscript"/>
              </w:rPr>
              <w:t>3</w:t>
            </w:r>
            <w:r>
              <w:rPr>
                <w:rFonts w:hint="eastAsia" w:ascii="仿宋" w:hAnsi="仿宋" w:eastAsia="仿宋" w:cs="仿宋"/>
                <w:bCs/>
                <w:spacing w:val="-10"/>
                <w:kern w:val="0"/>
                <w:sz w:val="24"/>
              </w:rPr>
              <w:t>在现状基础上得到控制，优良天数比例控制在75%以上。</w:t>
            </w:r>
          </w:p>
        </w:tc>
        <w:tc>
          <w:tcPr>
            <w:tcW w:w="1502" w:type="dxa"/>
            <w:noWrap w:val="0"/>
            <w:vAlign w:val="center"/>
          </w:tcPr>
          <w:p w14:paraId="75099083">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《环境空气质量标准》(GB3095-2012)、《河北省“三线一单”技术成果》、《邯郸市空气质量综合指数“退后十”攻坚行动方案》(邯文〔2021〕12号)、</w:t>
            </w:r>
            <w:r>
              <w:rPr>
                <w:rFonts w:hint="eastAsia" w:ascii="仿宋" w:hAnsi="仿宋" w:eastAsia="仿宋" w:cs="仿宋"/>
                <w:bCs/>
                <w:spacing w:val="-10"/>
                <w:kern w:val="0"/>
                <w:sz w:val="24"/>
              </w:rPr>
              <w:t>《邯郸市生态环境保护“十四五”规划》</w:t>
            </w:r>
          </w:p>
        </w:tc>
      </w:tr>
      <w:tr w14:paraId="66189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0BE618E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6237" w:type="dxa"/>
            <w:noWrap w:val="0"/>
            <w:vAlign w:val="center"/>
          </w:tcPr>
          <w:p w14:paraId="6F9779EE">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1.严格落实钢铁、水泥、平板玻璃等行业产能置换政策，严禁新增钢铁、焦化、水泥和平板玻璃等产能，禁止新增化工园区。</w:t>
            </w:r>
          </w:p>
          <w:p w14:paraId="5792B26B">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2.严控“两高”产业规模。以钢铁、焦化、水泥、平板玻璃、煤电等行业企业为重点，严格控制新增产能，遏制高耗能、高排放项目盲目发展。持续巩固去产能成果，严格落实产业准入条件，坚决防止反弹。</w:t>
            </w:r>
          </w:p>
          <w:p w14:paraId="6D67C139">
            <w:pPr>
              <w:widowControl/>
              <w:spacing w:line="0" w:lineRule="atLeast"/>
              <w:ind w:firstLine="440" w:firstLineChars="200"/>
              <w:jc w:val="left"/>
              <w:rPr>
                <w:rFonts w:ascii="仿宋" w:hAnsi="仿宋" w:eastAsia="仿宋" w:cs="仿宋"/>
                <w:spacing w:val="-10"/>
                <w:kern w:val="0"/>
                <w:sz w:val="24"/>
                <w:highlight w:val="none"/>
              </w:rPr>
            </w:pPr>
            <w:r>
              <w:rPr>
                <w:rFonts w:hint="eastAsia" w:ascii="仿宋" w:hAnsi="仿宋" w:eastAsia="仿宋" w:cs="仿宋"/>
                <w:spacing w:val="-10"/>
                <w:kern w:val="0"/>
                <w:sz w:val="24"/>
              </w:rPr>
              <w:t>3.严格执行质量、环保、能耗、安全等法规标准，加大重点行业低效和过剩产能压减力度，淘汰4.3米焦炉，关停部分1000立</w:t>
            </w:r>
            <w:r>
              <w:rPr>
                <w:rFonts w:hint="eastAsia" w:ascii="仿宋" w:hAnsi="仿宋" w:eastAsia="仿宋" w:cs="仿宋"/>
                <w:spacing w:val="-10"/>
                <w:kern w:val="0"/>
                <w:sz w:val="24"/>
                <w:highlight w:val="none"/>
              </w:rPr>
              <w:t>方米以下高炉和100吨以下转炉。</w:t>
            </w:r>
          </w:p>
          <w:p w14:paraId="3F47EF47">
            <w:pPr>
              <w:widowControl/>
              <w:spacing w:line="0" w:lineRule="atLeast"/>
              <w:ind w:firstLine="440" w:firstLineChars="200"/>
              <w:jc w:val="left"/>
              <w:rPr>
                <w:rFonts w:hint="eastAsia" w:ascii="仿宋" w:hAnsi="仿宋" w:eastAsia="仿宋" w:cs="仿宋"/>
                <w:spacing w:val="-10"/>
                <w:kern w:val="0"/>
                <w:sz w:val="24"/>
                <w:highlight w:val="none"/>
              </w:rPr>
            </w:pPr>
            <w:r>
              <w:rPr>
                <w:rFonts w:hint="eastAsia" w:ascii="仿宋" w:hAnsi="仿宋" w:eastAsia="仿宋" w:cs="仿宋"/>
                <w:spacing w:val="-10"/>
                <w:kern w:val="0"/>
                <w:sz w:val="24"/>
                <w:highlight w:val="none"/>
              </w:rPr>
              <w:t>4.发展壮大“532”市域主导产业，加快新旧动能转换。提升</w:t>
            </w:r>
            <w:r>
              <w:rPr>
                <w:rFonts w:hint="eastAsia" w:ascii="仿宋" w:hAnsi="仿宋" w:eastAsia="仿宋" w:cs="仿宋"/>
                <w:spacing w:val="-10"/>
                <w:kern w:val="0"/>
                <w:sz w:val="24"/>
                <w:highlight w:val="none"/>
                <w:lang w:val="en-US" w:eastAsia="zh-CN"/>
              </w:rPr>
              <w:t>传统</w:t>
            </w:r>
            <w:r>
              <w:rPr>
                <w:rFonts w:hint="eastAsia" w:ascii="仿宋" w:hAnsi="仿宋" w:eastAsia="仿宋" w:cs="仿宋"/>
                <w:spacing w:val="-10"/>
                <w:kern w:val="0"/>
                <w:sz w:val="24"/>
                <w:highlight w:val="none"/>
              </w:rPr>
              <w:t>优势产业发展能级，完成钢铁产业整合重组，延伸钢铁产业</w:t>
            </w:r>
            <w:r>
              <w:rPr>
                <w:rFonts w:hint="eastAsia" w:ascii="仿宋" w:hAnsi="仿宋" w:eastAsia="仿宋" w:cs="仿宋"/>
                <w:spacing w:val="-10"/>
                <w:kern w:val="0"/>
                <w:sz w:val="24"/>
                <w:highlight w:val="none"/>
                <w:lang w:val="en-US" w:eastAsia="zh-CN"/>
              </w:rPr>
              <w:t>链条</w:t>
            </w:r>
            <w:r>
              <w:rPr>
                <w:rFonts w:hint="eastAsia" w:ascii="仿宋" w:hAnsi="仿宋" w:eastAsia="仿宋" w:cs="仿宋"/>
                <w:spacing w:val="-10"/>
                <w:kern w:val="0"/>
                <w:sz w:val="24"/>
                <w:highlight w:val="none"/>
              </w:rPr>
              <w:t>，加快建设全国重要精品钢材生产基地，形成“一集群五基地”产业格局。</w:t>
            </w:r>
          </w:p>
          <w:p w14:paraId="62A9C260">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5.严格控制高耗能项目建设，提高市场准入门槛，严格控制新增煤电机组装机规模，审慎发展石油化工等项目。</w:t>
            </w:r>
          </w:p>
          <w:p w14:paraId="4FAB74E6">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6.严格散煤生产、加工、储运、销售环节监管，“禁煤区”“高污染燃料禁燃区”不得新设散煤经营网点。</w:t>
            </w:r>
          </w:p>
          <w:p w14:paraId="7A3C6C94">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7.推进煤炭、钢铁、焦化、水泥等大宗货物年运输量150万吨以上的大型工矿企业、大型物流园区以及港口集疏运铁路专用线、管道或封闭管廊等建设。</w:t>
            </w:r>
          </w:p>
          <w:p w14:paraId="1B4E2CFD">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8.确保“散乱污”企业动态清零。建立“散乱污”企业动态管理机制，定期开展“回头看”，坚决杜绝“散乱污”企业项目建设和已取缔的“散乱污”企业异地转移，死灰复燃。</w:t>
            </w:r>
          </w:p>
          <w:p w14:paraId="0140380A">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9.对30万千瓦及以上热电联产机组覆盖范围内的自备燃煤电厂实施关停整合。</w:t>
            </w:r>
          </w:p>
          <w:p w14:paraId="2BE0DF91">
            <w:pPr>
              <w:widowControl/>
              <w:spacing w:line="0" w:lineRule="atLeast"/>
              <w:jc w:val="left"/>
              <w:rPr>
                <w:rFonts w:ascii="仿宋" w:hAnsi="仿宋" w:eastAsia="仿宋" w:cs="仿宋"/>
                <w:spacing w:val="-10"/>
                <w:kern w:val="0"/>
                <w:sz w:val="24"/>
              </w:rPr>
            </w:pPr>
            <w:r>
              <w:rPr>
                <w:rFonts w:hint="eastAsia" w:ascii="仿宋" w:hAnsi="仿宋" w:eastAsia="仿宋" w:cs="仿宋"/>
                <w:spacing w:val="-10"/>
                <w:kern w:val="0"/>
                <w:sz w:val="24"/>
              </w:rPr>
              <w:t>10.积极参与京津冀协同发展生态环境联建联防联治。聚焦对接服务京津，突出承接疏解合作功能，全力推进京津冀协同发展取得更大成效。强化多领域协同治理和保护，深化区域大气污染协同治理，强化区域生态环境联合执法，深化拓展生态保护补偿机制</w:t>
            </w:r>
          </w:p>
          <w:p w14:paraId="118CE38C">
            <w:pPr>
              <w:widowControl/>
              <w:spacing w:line="0" w:lineRule="atLeast"/>
              <w:jc w:val="left"/>
              <w:rPr>
                <w:rFonts w:ascii="Calibri" w:hAnsi="Calibri" w:eastAsia="宋体" w:cs="Times New Roman"/>
                <w:sz w:val="24"/>
              </w:rPr>
            </w:pPr>
            <w:r>
              <w:rPr>
                <w:rFonts w:hint="eastAsia" w:ascii="仿宋" w:hAnsi="仿宋" w:eastAsia="仿宋" w:cs="仿宋"/>
                <w:spacing w:val="-10"/>
                <w:kern w:val="0"/>
                <w:sz w:val="24"/>
              </w:rPr>
              <w:t>11.按照统一规划、统一标准、统一监测、统一污染防治措施的要求，落实省内跨区域联防联控机制，强化与周边市联防联控，鼓励县（市、区）积极开展联防联控。落实“省—市—县”重污染天气应对三级预案体系，规范重污染天气预警、启动、响应、解除工作流程，严格执行重点行业企业绩效分级管控措施，加强应急减排清单标准化管理。</w:t>
            </w:r>
          </w:p>
        </w:tc>
        <w:tc>
          <w:tcPr>
            <w:tcW w:w="1502" w:type="dxa"/>
            <w:vMerge w:val="restart"/>
            <w:noWrap w:val="0"/>
            <w:vAlign w:val="center"/>
          </w:tcPr>
          <w:p w14:paraId="2D9887CF">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《河北省2021年大气污染综合治理工作方案》（冀气领组〔2021〕2号）、《河北省2022年大气污染综合治理工作要点》、《邯郸市生态环境保护“十四五”</w:t>
            </w:r>
          </w:p>
          <w:p w14:paraId="5FD2E9A8">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规划》、《邯郸市大气污染防治工作领导小组办公室关于印发〈邯郸市深入打好重污染天气消除臭氧污染防治、柴油货车污染治理和城市大气污染深度治理攻坚行动方案〉的通知》（邯气领办〔2023〕3号）</w:t>
            </w:r>
          </w:p>
        </w:tc>
      </w:tr>
      <w:tr w14:paraId="40341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406E81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污染物排放</w:t>
            </w:r>
          </w:p>
        </w:tc>
        <w:tc>
          <w:tcPr>
            <w:tcW w:w="6237" w:type="dxa"/>
            <w:noWrap w:val="0"/>
            <w:vAlign w:val="center"/>
          </w:tcPr>
          <w:p w14:paraId="66CA5664">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1.开展重点行业能源消耗、资源效率对标对表行动，推动重点污染企业搬迁入园、改造升级或依法退出。对未按期完成有组织、无组织超低排放改造、超标排放的重点行业企业实施停产整治。</w:t>
            </w:r>
          </w:p>
          <w:p w14:paraId="5D9B217F">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2.以钢铁、焦化、水泥、平板玻璃等行业为重点，开展清洁化、循环化、低碳化改造。</w:t>
            </w:r>
          </w:p>
          <w:p w14:paraId="00C0F0E3">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3.全面推进燃煤电厂超净排放改造。</w:t>
            </w:r>
          </w:p>
          <w:p w14:paraId="2715AB5D">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4.加强焦化、建材(水泥、平板玻璃、陶瓷)等重点行业有组织超低排放监督管理，对物料储存、输送和生产工艺过程等无组织排放情况开展排查，建立清单，实施深度治理。</w:t>
            </w:r>
          </w:p>
          <w:p w14:paraId="2C7258E5">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5.深入开展工业窑炉和锅炉综合治理。全面提升砖瓦、石灰、耐火材料等行业工业窑炉的治污设施处理能力。</w:t>
            </w:r>
          </w:p>
          <w:p w14:paraId="422FE686">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6.推进消耗臭氧层物质淘汰国际履约工作，建立ODS销售使用清单，完善备案制度，加强含氢氯氟烃流通和消费监管，严格源头准入，加快消耗臭氧层物质替代。</w:t>
            </w:r>
          </w:p>
          <w:p w14:paraId="78D8F59B">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7.强化涉VOCs企业“一厂一策”精细管控，完善源头、过程和末端的VOCs全过程控制体系，推进涉VOCs产业集群配套建设一批有机溶剂集中回收处置中心、活性炭集中处理中心、集中涂装中心。</w:t>
            </w:r>
          </w:p>
          <w:p w14:paraId="170CC024">
            <w:pPr>
              <w:pStyle w:val="10"/>
              <w:widowControl/>
              <w:spacing w:line="0" w:lineRule="atLeast"/>
              <w:ind w:left="0" w:leftChars="0" w:firstLine="440" w:firstLineChars="200"/>
              <w:jc w:val="left"/>
              <w:rPr>
                <w:rFonts w:ascii="仿宋" w:hAnsi="仿宋" w:eastAsia="仿宋" w:cs="仿宋"/>
                <w:spacing w:val="-10"/>
                <w:sz w:val="24"/>
              </w:rPr>
            </w:pPr>
            <w:r>
              <w:rPr>
                <w:rFonts w:hint="eastAsia" w:ascii="仿宋" w:hAnsi="仿宋" w:eastAsia="仿宋" w:cs="仿宋"/>
                <w:spacing w:val="-10"/>
                <w:sz w:val="24"/>
              </w:rPr>
              <w:t>8.</w:t>
            </w:r>
            <w:r>
              <w:rPr>
                <w:rFonts w:hint="eastAsia" w:ascii="仿宋" w:hAnsi="仿宋" w:eastAsia="仿宋" w:cs="仿宋"/>
                <w:spacing w:val="-10"/>
                <w:kern w:val="0"/>
                <w:sz w:val="24"/>
              </w:rPr>
              <w:t>对涉粉状物料十大行业935家企业开展提升改造专项行动，按照“标杆建设一批、改造提升一批、优化整合一批、淘汰退出一批”的总体要求，统一标准、统一时间表，从生产工艺、产品质量、产能规模、污染治理等方面提出具体治理任务，确保无组织排放得到全面控制。</w:t>
            </w:r>
          </w:p>
          <w:p w14:paraId="49F8D43C">
            <w:pPr>
              <w:widowControl/>
              <w:spacing w:line="0" w:lineRule="atLeast"/>
              <w:ind w:firstLine="440" w:firstLineChars="200"/>
              <w:jc w:val="left"/>
              <w:rPr>
                <w:rFonts w:ascii="仿宋" w:hAnsi="仿宋" w:eastAsia="仿宋" w:cs="仿宋"/>
                <w:spacing w:val="-10"/>
                <w:sz w:val="24"/>
              </w:rPr>
            </w:pPr>
            <w:r>
              <w:rPr>
                <w:rFonts w:hint="eastAsia" w:ascii="仿宋" w:hAnsi="仿宋" w:eastAsia="仿宋" w:cs="仿宋"/>
                <w:spacing w:val="-10"/>
                <w:sz w:val="24"/>
              </w:rPr>
              <w:t>9.严控建筑工地、裸土裸地、公路、城市和县乡(镇)道路扬尘，实行“以克论净”和尘负荷考核。逐年提高城镇绿化率和全市林木覆盖率。</w:t>
            </w:r>
          </w:p>
          <w:p w14:paraId="0CA4C6AD">
            <w:pPr>
              <w:widowControl/>
              <w:spacing w:line="0" w:lineRule="atLeast"/>
              <w:ind w:firstLine="440" w:firstLineChars="200"/>
              <w:jc w:val="left"/>
              <w:rPr>
                <w:rFonts w:ascii="仿宋" w:hAnsi="仿宋" w:eastAsia="仿宋" w:cs="仿宋"/>
                <w:spacing w:val="-10"/>
                <w:sz w:val="24"/>
              </w:rPr>
            </w:pPr>
            <w:r>
              <w:rPr>
                <w:rFonts w:hint="eastAsia" w:ascii="仿宋" w:hAnsi="仿宋" w:eastAsia="仿宋" w:cs="仿宋"/>
                <w:spacing w:val="-10"/>
                <w:sz w:val="24"/>
              </w:rPr>
              <w:t>10.对市主城区235块裸土裸地和270块春白地实施硬化和绿化，确保动态清零。2021年底，在完成112处露天矿山修复的基础上，再完成26处露天矿山修复。重点行业107家企业有组织和无组织排放稳定实现超低排放，实现超低新常态。六个行业450家企业稳定达到“邯郸限值”。</w:t>
            </w:r>
          </w:p>
          <w:p w14:paraId="4436B0F2">
            <w:pPr>
              <w:widowControl/>
              <w:spacing w:line="0" w:lineRule="atLeast"/>
              <w:ind w:firstLine="440" w:firstLineChars="200"/>
              <w:jc w:val="left"/>
              <w:rPr>
                <w:rFonts w:ascii="仿宋" w:hAnsi="仿宋" w:eastAsia="仿宋" w:cs="仿宋"/>
                <w:spacing w:val="-10"/>
                <w:sz w:val="24"/>
              </w:rPr>
            </w:pPr>
            <w:r>
              <w:rPr>
                <w:rFonts w:hint="eastAsia" w:ascii="仿宋" w:hAnsi="仿宋" w:eastAsia="仿宋" w:cs="仿宋"/>
                <w:spacing w:val="-10"/>
                <w:sz w:val="24"/>
              </w:rPr>
              <w:t>11.严控露天烧烤及秸秆焚烧污染。</w:t>
            </w:r>
          </w:p>
          <w:p w14:paraId="12CB40F5">
            <w:pPr>
              <w:widowControl/>
              <w:spacing w:line="0" w:lineRule="atLeast"/>
              <w:ind w:firstLine="440" w:firstLineChars="200"/>
              <w:jc w:val="left"/>
              <w:rPr>
                <w:rFonts w:ascii="仿宋" w:hAnsi="仿宋" w:eastAsia="仿宋" w:cs="仿宋"/>
                <w:spacing w:val="-10"/>
                <w:sz w:val="24"/>
              </w:rPr>
            </w:pPr>
            <w:r>
              <w:rPr>
                <w:rFonts w:hint="eastAsia" w:ascii="仿宋" w:hAnsi="仿宋" w:eastAsia="仿宋" w:cs="仿宋"/>
                <w:spacing w:val="-10"/>
                <w:sz w:val="24"/>
              </w:rPr>
              <w:t>12.实施农业氨排放削减。2021年，在全市推广氨排放控制措施，完成210万亩农田推广应用，有效降低氨对PM</w:t>
            </w:r>
            <w:r>
              <w:rPr>
                <w:rFonts w:hint="eastAsia" w:ascii="仿宋" w:hAnsi="仿宋" w:eastAsia="仿宋" w:cs="仿宋"/>
                <w:spacing w:val="-10"/>
                <w:sz w:val="24"/>
                <w:vertAlign w:val="subscript"/>
              </w:rPr>
              <w:t>2.5</w:t>
            </w:r>
            <w:r>
              <w:rPr>
                <w:rFonts w:hint="eastAsia" w:ascii="仿宋" w:hAnsi="仿宋" w:eastAsia="仿宋" w:cs="仿宋"/>
                <w:spacing w:val="-10"/>
                <w:sz w:val="24"/>
              </w:rPr>
              <w:t>的影响。</w:t>
            </w:r>
          </w:p>
          <w:p w14:paraId="1DAF3088">
            <w:pPr>
              <w:widowControl/>
              <w:spacing w:line="0" w:lineRule="atLeast"/>
              <w:jc w:val="left"/>
              <w:rPr>
                <w:rFonts w:ascii="Calibri" w:hAnsi="Calibri" w:eastAsia="宋体" w:cs="Times New Roman"/>
                <w:sz w:val="24"/>
              </w:rPr>
            </w:pPr>
            <w:r>
              <w:rPr>
                <w:rFonts w:hint="eastAsia" w:ascii="仿宋" w:hAnsi="仿宋" w:eastAsia="仿宋" w:cs="仿宋"/>
                <w:spacing w:val="-10"/>
                <w:sz w:val="24"/>
              </w:rPr>
              <w:t>13.完善能源消耗总量和强度调控，重点控制化石能源消费，逐步转向碳排放总量和强度“双控”制度。严格执行污染物排放总量控制，加强节能审查事中事后监管。深化排污权交易改革，构建排污权政府储备。建立生态产品价值实现机制。优化生态保护补偿政策。深化生态环境领域“放管服”改革，推进环境影响评价审批和监督执法“两个正面清单”制度化、规范化。</w:t>
            </w:r>
          </w:p>
        </w:tc>
        <w:tc>
          <w:tcPr>
            <w:tcW w:w="1502" w:type="dxa"/>
            <w:vMerge w:val="continue"/>
            <w:noWrap w:val="0"/>
            <w:vAlign w:val="center"/>
          </w:tcPr>
          <w:p w14:paraId="0B6E24E1">
            <w:pPr>
              <w:widowControl/>
              <w:spacing w:line="0" w:lineRule="atLeast"/>
              <w:jc w:val="center"/>
              <w:rPr>
                <w:rFonts w:ascii="仿宋" w:hAnsi="仿宋" w:eastAsia="仿宋" w:cs="仿宋"/>
                <w:spacing w:val="-10"/>
                <w:kern w:val="0"/>
                <w:sz w:val="24"/>
              </w:rPr>
            </w:pPr>
          </w:p>
        </w:tc>
      </w:tr>
      <w:tr w14:paraId="2DE4C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261167A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6237" w:type="dxa"/>
            <w:noWrap w:val="0"/>
            <w:vAlign w:val="center"/>
          </w:tcPr>
          <w:p w14:paraId="3707D701">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建立完善省、市环境空气质量预报预警体系建设，推进大气污染物时空分布及传输规律研究，提高预警信息前瞻性和准确率，提前72小时发布重污染天气预警信息，指导企业调整生产计划，有效落实应急减排措施，最大程度减轻重污染天气应急响应对企业生产造成的影响。</w:t>
            </w:r>
          </w:p>
        </w:tc>
        <w:tc>
          <w:tcPr>
            <w:tcW w:w="1502" w:type="dxa"/>
            <w:vMerge w:val="continue"/>
            <w:noWrap w:val="0"/>
            <w:vAlign w:val="center"/>
          </w:tcPr>
          <w:p w14:paraId="2B22C36D">
            <w:pPr>
              <w:widowControl/>
              <w:spacing w:line="0" w:lineRule="atLeast"/>
              <w:jc w:val="center"/>
              <w:rPr>
                <w:rFonts w:ascii="仿宋" w:hAnsi="仿宋" w:eastAsia="仿宋" w:cs="仿宋"/>
                <w:spacing w:val="-10"/>
                <w:kern w:val="0"/>
                <w:sz w:val="24"/>
              </w:rPr>
            </w:pPr>
          </w:p>
        </w:tc>
      </w:tr>
      <w:tr w14:paraId="47FFB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318B83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资源开发利用</w:t>
            </w:r>
          </w:p>
        </w:tc>
        <w:tc>
          <w:tcPr>
            <w:tcW w:w="6237" w:type="dxa"/>
            <w:noWrap w:val="0"/>
            <w:vAlign w:val="center"/>
          </w:tcPr>
          <w:p w14:paraId="2C1C7947">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1.新上涉气建设项目绩效评价达到B级及以上水平。</w:t>
            </w:r>
          </w:p>
          <w:p w14:paraId="62FE3980">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2.严格控制煤炭消费总量。对新增耗煤项目实施等(减)量替代。实施工业企业精准减煤工程，对钢铁、焦化、电力等用煤大户通过技改和加强管理降低能耗。</w:t>
            </w:r>
          </w:p>
          <w:p w14:paraId="6751BC12">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3.重点推进秸秆机械化直接还田、秸秆饲料化利用、秸秆燃料化利用、秸秆基料化利用、秸秆发电及工业原料化利用和秸秆收储运体系建设。</w:t>
            </w:r>
          </w:p>
          <w:p w14:paraId="3A4CAC5E">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4.推进畜禽粪污综合利用，规模化畜禽养殖场全部建成粪污治理设施。</w:t>
            </w:r>
          </w:p>
          <w:p w14:paraId="0AE04F7C">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5.严格散煤生产、加工、储运、销售环节监管，“禁煤区”“高污染燃料禁燃区”不得新设散煤经营网点。加强散煤质量抽检，散煤销售网点和燃煤使用单位的抽检覆盖率达到100%。</w:t>
            </w:r>
          </w:p>
        </w:tc>
        <w:tc>
          <w:tcPr>
            <w:tcW w:w="1502" w:type="dxa"/>
            <w:vMerge w:val="continue"/>
            <w:noWrap w:val="0"/>
            <w:vAlign w:val="center"/>
          </w:tcPr>
          <w:p w14:paraId="4E8CB6B2">
            <w:pPr>
              <w:widowControl/>
              <w:spacing w:line="0" w:lineRule="atLeast"/>
              <w:jc w:val="center"/>
              <w:rPr>
                <w:rFonts w:ascii="仿宋" w:hAnsi="仿宋" w:eastAsia="仿宋" w:cs="仿宋"/>
                <w:spacing w:val="-10"/>
                <w:kern w:val="0"/>
                <w:sz w:val="24"/>
              </w:rPr>
            </w:pPr>
          </w:p>
        </w:tc>
      </w:tr>
    </w:tbl>
    <w:p w14:paraId="505BF1E0">
      <w:pPr>
        <w:pStyle w:val="10"/>
        <w:numPr>
          <w:ilvl w:val="1"/>
          <w:numId w:val="0"/>
        </w:numPr>
        <w:spacing w:beforeLines="50"/>
        <w:ind w:firstLine="640" w:firstLineChars="200"/>
        <w:outlineLvl w:val="1"/>
        <w:rPr>
          <w:rFonts w:ascii="仿宋" w:hAnsi="仿宋" w:eastAsia="仿宋" w:cs="仿宋"/>
          <w:bCs/>
          <w:sz w:val="32"/>
          <w:szCs w:val="32"/>
        </w:rPr>
      </w:pPr>
      <w:r>
        <w:rPr>
          <w:rFonts w:hint="eastAsia" w:ascii="仿宋" w:hAnsi="仿宋" w:eastAsia="仿宋" w:cs="仿宋"/>
          <w:bCs/>
          <w:sz w:val="32"/>
          <w:szCs w:val="32"/>
        </w:rPr>
        <w:t>（四）全市水环境总体管控要求</w:t>
      </w:r>
    </w:p>
    <w:p w14:paraId="4A2F79AC">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表1.4   </w:t>
      </w:r>
      <w:r>
        <w:rPr>
          <w:rFonts w:hint="eastAsia" w:ascii="仿宋" w:hAnsi="仿宋" w:eastAsia="仿宋" w:cs="仿宋"/>
          <w:b/>
          <w:bCs/>
          <w:sz w:val="32"/>
          <w:szCs w:val="32"/>
        </w:rPr>
        <w:t xml:space="preserve"> 全市水环境总体管控要求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62"/>
        <w:gridCol w:w="6297"/>
        <w:gridCol w:w="1442"/>
      </w:tblGrid>
      <w:tr w14:paraId="2064D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162" w:type="dxa"/>
            <w:shd w:val="clear" w:color="auto" w:fill="D7D7D7"/>
            <w:noWrap w:val="0"/>
            <w:vAlign w:val="center"/>
          </w:tcPr>
          <w:p w14:paraId="1D621DA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管控维度</w:t>
            </w:r>
          </w:p>
        </w:tc>
        <w:tc>
          <w:tcPr>
            <w:tcW w:w="6297" w:type="dxa"/>
            <w:shd w:val="clear" w:color="auto" w:fill="D7D7D7"/>
            <w:noWrap w:val="0"/>
            <w:vAlign w:val="center"/>
          </w:tcPr>
          <w:p w14:paraId="5AD18FB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442" w:type="dxa"/>
            <w:shd w:val="clear" w:color="auto" w:fill="D7D7D7"/>
            <w:noWrap w:val="0"/>
            <w:vAlign w:val="center"/>
          </w:tcPr>
          <w:p w14:paraId="7F8DF82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16560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75A599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污染物防控目标</w:t>
            </w:r>
          </w:p>
        </w:tc>
        <w:tc>
          <w:tcPr>
            <w:tcW w:w="6297" w:type="dxa"/>
            <w:noWrap w:val="0"/>
            <w:vAlign w:val="center"/>
          </w:tcPr>
          <w:p w14:paraId="36FD2B2D">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2025年地表水Ⅲ类及以上水体断面比例达到27%以上，劣Ⅴ类水体基本消除；2035年全面消除劣Ⅴ类水质。</w:t>
            </w:r>
          </w:p>
        </w:tc>
        <w:tc>
          <w:tcPr>
            <w:tcW w:w="1442" w:type="dxa"/>
            <w:noWrap w:val="0"/>
            <w:vAlign w:val="center"/>
          </w:tcPr>
          <w:p w14:paraId="160207B7">
            <w:pPr>
              <w:widowControl/>
              <w:spacing w:line="0" w:lineRule="atLeast"/>
              <w:jc w:val="center"/>
              <w:rPr>
                <w:rFonts w:ascii="仿宋" w:hAnsi="仿宋" w:eastAsia="仿宋" w:cs="仿宋"/>
                <w:b/>
                <w:spacing w:val="-10"/>
                <w:kern w:val="0"/>
                <w:sz w:val="24"/>
              </w:rPr>
            </w:pPr>
            <w:r>
              <w:rPr>
                <w:rFonts w:hint="eastAsia" w:ascii="仿宋" w:hAnsi="仿宋" w:eastAsia="仿宋" w:cs="仿宋"/>
                <w:spacing w:val="-10"/>
                <w:kern w:val="0"/>
                <w:sz w:val="24"/>
              </w:rPr>
              <w:t>《河北省生态环境保护“十四五”规划》、《邯郸市生态环境保护“十四五”规划》</w:t>
            </w:r>
          </w:p>
        </w:tc>
      </w:tr>
      <w:tr w14:paraId="63EA4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4D3FBC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6297" w:type="dxa"/>
            <w:noWrap w:val="0"/>
            <w:vAlign w:val="center"/>
          </w:tcPr>
          <w:p w14:paraId="7B56100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1.强化饮用水水源保护。建立县级及以上集中式饮用水水源清单，明确水质目标，实行达标管理。</w:t>
            </w:r>
          </w:p>
          <w:p w14:paraId="052AE2C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2.开展水环境承载力评价。推进美丽河湖保护与建设，发挥引领示范作用。</w:t>
            </w:r>
          </w:p>
          <w:p w14:paraId="3048B97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3.保护河湖生态空间。落实生态保护红线制度。禁止侵占自然湿地等水源涵养生态空间，已侵占的全部予以恢复。</w:t>
            </w:r>
          </w:p>
          <w:p w14:paraId="3BB99F7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4.严格水域岸线用途管制和土地开发利用。新建项目应按照有关法律法规和技术标准要求，留足河道、湖泊、水库岸边地带的管理和保护范围。</w:t>
            </w:r>
          </w:p>
          <w:p w14:paraId="099C27B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5.子牙河水系、漳卫南水系、黑龙港水系和徒骇马颊河水系干流沿岸以及岳城水库水源地、羊角铺地下水水源地等重要饮用水源地补给区，严格控制化学原料和化学制品制造、医药制造、制革、造纸、焦化、化学纤维制造、石油加工、纺织印染等项目，合理布局生产装置及危险化学品仓储等设施。</w:t>
            </w:r>
          </w:p>
          <w:p w14:paraId="29853F9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6.优化养殖产业空间布局。以饮用水水源、水质较好湖库、国家级湿地（公园）等环境敏感区域为重点，科学划定养殖区，明确适养、限养和禁养区。全面清理禁养区相关养殖项目，严防反弹。</w:t>
            </w:r>
          </w:p>
          <w:p w14:paraId="7FD1F7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7.在跃峰渠工程管理范围内从事工程建设活动的，建设单位或个人 应当将工程建设方案报送市水行政主管部门审查同意后，方可按照基本建设程序履行审批手续。市水行政主管部门依法对施工进行监督。穿、 跨、临渠的桥梁、道路、管道、 缆 线、取水、排水、监测等工程设施的建设 单位、产权单位或者使用单位，应当对 设施进行日常检查和维护，保证其正常运行，发现危害渠道安全、妨碍渠水畅通等情况的，应当及时进行整改、消除 安全隐患。</w:t>
            </w:r>
          </w:p>
        </w:tc>
        <w:tc>
          <w:tcPr>
            <w:tcW w:w="1442" w:type="dxa"/>
            <w:vMerge w:val="restart"/>
            <w:noWrap w:val="0"/>
            <w:vAlign w:val="center"/>
          </w:tcPr>
          <w:p w14:paraId="7CA229EF">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《河北省2021年水生态环境保护工作方案》（冀水领组〔2021〕2号）、《邯郸市水体达标方案》(邯郸市人民政府2016年12月)、《邯郸市跃峰渠保护条例》</w:t>
            </w:r>
          </w:p>
        </w:tc>
      </w:tr>
      <w:tr w14:paraId="408CD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6EB87B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污染物排放</w:t>
            </w:r>
          </w:p>
        </w:tc>
        <w:tc>
          <w:tcPr>
            <w:tcW w:w="6297" w:type="dxa"/>
            <w:noWrap w:val="0"/>
            <w:vAlign w:val="center"/>
          </w:tcPr>
          <w:p w14:paraId="4CBAAC2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1.严查非法排污行为，压实地方政府属地责任，建立健全长效监管机制，促进国考重要水功能区稳定达标。</w:t>
            </w:r>
          </w:p>
          <w:p w14:paraId="22EB26F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2.加快老旧城区、城中村和城乡接合部生活污水收集设施建设，提升城市生活污水集中收集效能。加快乡镇级污水处理厂建设，补齐污水处理能力短板。</w:t>
            </w:r>
          </w:p>
          <w:p w14:paraId="6B8AC87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3.严格排水许可监管，杜绝雨污混接错接，遏制雨水管网违法排污。加强雨水管网运行维护，定期清疏管道污泥。</w:t>
            </w:r>
          </w:p>
          <w:p w14:paraId="49832D9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河流两岸现有的林地、草地、滩地应维持原状，不得开发占用；缓冲带内的现有农田不得施加化肥和农药；缓冲带内的现有违法违章建筑应依法依规由政府组织清除。生态缓冲带应按照“守、退、补”的原则严格保护，控制岸线开发强度。</w:t>
            </w:r>
          </w:p>
          <w:p w14:paraId="17A2774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5.针对性推进“散乱污”企业整治、工业全面达标排放计划、工业集聚区（省级以上经济技术开发区、高新技术产业开发区以及省级以下各类工业集聚区）水污染治理、城镇污水处理基础设施建设、畜禽养殖废弃物资源化综合利用、化肥和农药使用量零增长、农村人居环境整治和河湖内源治理等工程措施，确保污染负荷大幅度削减。</w:t>
            </w:r>
          </w:p>
          <w:p w14:paraId="5630BC4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6.严格执行相关流域和行业水污染物排放标准，对未达到相应排放标准和排放限值的企业实施污水处理设施提升改造。</w:t>
            </w:r>
          </w:p>
          <w:p w14:paraId="68826D3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7.对集中式饮用水水源保护区、水质优良河流湖库沿岸沿线、引黄入淀沿线、南水北调工程沿线、自然保护区等环境敏感区，通过建设生态沟渠、植物隔离条带、净化塘、地表径流积池等设施减缓农田氮磷流失，减少对水体环境的直接污染。</w:t>
            </w:r>
          </w:p>
        </w:tc>
        <w:tc>
          <w:tcPr>
            <w:tcW w:w="1442" w:type="dxa"/>
            <w:vMerge w:val="continue"/>
            <w:noWrap w:val="0"/>
            <w:vAlign w:val="center"/>
          </w:tcPr>
          <w:p w14:paraId="72D64EF3">
            <w:pPr>
              <w:widowControl/>
              <w:spacing w:line="0" w:lineRule="atLeast"/>
              <w:jc w:val="center"/>
              <w:rPr>
                <w:rFonts w:ascii="仿宋" w:hAnsi="仿宋" w:eastAsia="仿宋" w:cs="仿宋"/>
                <w:spacing w:val="-10"/>
                <w:kern w:val="0"/>
                <w:sz w:val="24"/>
              </w:rPr>
            </w:pPr>
          </w:p>
        </w:tc>
      </w:tr>
      <w:tr w14:paraId="0CC1BE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354E640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6297" w:type="dxa"/>
            <w:noWrap w:val="0"/>
            <w:vAlign w:val="center"/>
          </w:tcPr>
          <w:p w14:paraId="251C057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1.加强监测能力建设，定期开展市、县、乡、农村集中式饮用水水源及南水北调输水工程水质监测。</w:t>
            </w:r>
          </w:p>
          <w:p w14:paraId="04DF804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2.定期监测入河排污口，对超标排放的进行通报、督办。建设完善监管体制机制，督促各地落实属地监管责任。</w:t>
            </w:r>
          </w:p>
          <w:p w14:paraId="7A77F0A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推进重点控制断面上游3—5千米，下游100—500米内生态缓冲带建设，在水域与陆地之间因地制宜建设乔灌草相结合的立体植物带，利用缓冲带植物的吸附和分解作用，拦截污染、净化水体、提升生态系统完整性。</w:t>
            </w:r>
          </w:p>
          <w:p w14:paraId="170E3D8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4.有效防控饮用水水源保护区环境风险。每年对集中式饮用水水源保护区开展基础调查与评估，将可能影响水源水质安全的风险源全部列入档案，加强风险应急防控，建立联防联控应急机制。</w:t>
            </w:r>
          </w:p>
          <w:p w14:paraId="66BF02F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5.污水集中处理设施产生的污泥应进行稳定化、无害化和资源化处理处置。在完成危险废物鉴定的基础上，鼓励城镇污泥合规采取协同焚烧、建材利用、土地利用等方式，对处理后的污泥进行资源化利用。禁止不达标的污泥进入耕地。</w:t>
            </w:r>
          </w:p>
        </w:tc>
        <w:tc>
          <w:tcPr>
            <w:tcW w:w="1442" w:type="dxa"/>
            <w:vMerge w:val="continue"/>
            <w:noWrap w:val="0"/>
            <w:vAlign w:val="center"/>
          </w:tcPr>
          <w:p w14:paraId="6F7890A2">
            <w:pPr>
              <w:widowControl/>
              <w:spacing w:line="0" w:lineRule="atLeast"/>
              <w:jc w:val="center"/>
              <w:rPr>
                <w:rFonts w:ascii="仿宋" w:hAnsi="仿宋" w:eastAsia="仿宋" w:cs="仿宋"/>
                <w:spacing w:val="-10"/>
                <w:kern w:val="0"/>
                <w:sz w:val="24"/>
              </w:rPr>
            </w:pPr>
          </w:p>
        </w:tc>
      </w:tr>
      <w:tr w14:paraId="411D7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162" w:type="dxa"/>
            <w:noWrap w:val="0"/>
            <w:vAlign w:val="center"/>
          </w:tcPr>
          <w:p w14:paraId="33978BD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资源开发利用</w:t>
            </w:r>
          </w:p>
        </w:tc>
        <w:tc>
          <w:tcPr>
            <w:tcW w:w="6297" w:type="dxa"/>
            <w:noWrap w:val="0"/>
            <w:vAlign w:val="center"/>
          </w:tcPr>
          <w:p w14:paraId="583677A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推进畜禽粪污集中处理与资源化利用，强化病死畜禽无害化处理体系建设。持续推进畜禽粪污资源化利用，以种养结合、协同减排为引导，强化粪污收运还田体系建设，结合实际选择粪污肥料化、燃料化、基质化等资源化利用模式，实现粪污就近利用。</w:t>
            </w:r>
          </w:p>
          <w:p w14:paraId="1D9F13F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调整种植业结构，大力发展精细农业，推广优质高产多抗的农作物品种，发展高效生态循环农业。有效控制化肥使用量，实现主要农作物测土配方施肥技术全覆盖。在政策上鼓励施用有机肥，减少农田化肥氮磷流失。</w:t>
            </w:r>
          </w:p>
        </w:tc>
        <w:tc>
          <w:tcPr>
            <w:tcW w:w="1442" w:type="dxa"/>
            <w:vMerge w:val="continue"/>
            <w:noWrap w:val="0"/>
            <w:vAlign w:val="center"/>
          </w:tcPr>
          <w:p w14:paraId="4456A1CE">
            <w:pPr>
              <w:widowControl/>
              <w:spacing w:line="0" w:lineRule="atLeast"/>
              <w:jc w:val="center"/>
              <w:rPr>
                <w:rFonts w:ascii="仿宋" w:hAnsi="仿宋" w:eastAsia="仿宋" w:cs="仿宋"/>
                <w:spacing w:val="-10"/>
                <w:kern w:val="0"/>
                <w:sz w:val="24"/>
              </w:rPr>
            </w:pPr>
          </w:p>
        </w:tc>
      </w:tr>
    </w:tbl>
    <w:p w14:paraId="28CD55FF">
      <w:pPr>
        <w:pStyle w:val="10"/>
        <w:numPr>
          <w:ilvl w:val="1"/>
          <w:numId w:val="0"/>
        </w:numPr>
        <w:spacing w:beforeLines="50"/>
        <w:ind w:firstLine="640" w:firstLineChars="200"/>
        <w:outlineLvl w:val="1"/>
        <w:rPr>
          <w:rFonts w:ascii="仿宋" w:hAnsi="仿宋" w:eastAsia="仿宋" w:cs="仿宋"/>
          <w:bCs/>
          <w:sz w:val="32"/>
          <w:szCs w:val="32"/>
        </w:rPr>
      </w:pPr>
      <w:r>
        <w:rPr>
          <w:rFonts w:hint="eastAsia" w:ascii="仿宋" w:hAnsi="仿宋" w:eastAsia="仿宋" w:cs="仿宋"/>
          <w:bCs/>
          <w:sz w:val="32"/>
          <w:szCs w:val="32"/>
        </w:rPr>
        <w:t>（五）全市土壤环境总体管控要求</w:t>
      </w:r>
    </w:p>
    <w:p w14:paraId="088C9421">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表1.5   </w:t>
      </w:r>
      <w:r>
        <w:rPr>
          <w:rFonts w:hint="eastAsia" w:ascii="仿宋" w:hAnsi="仿宋" w:eastAsia="仿宋" w:cs="仿宋"/>
          <w:b/>
          <w:bCs/>
          <w:sz w:val="32"/>
          <w:szCs w:val="32"/>
        </w:rPr>
        <w:t xml:space="preserve"> 全市土壤环境总体管控要求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77"/>
        <w:gridCol w:w="6082"/>
        <w:gridCol w:w="1442"/>
      </w:tblGrid>
      <w:tr w14:paraId="18C06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377" w:type="dxa"/>
            <w:shd w:val="clear" w:color="auto" w:fill="D7D7D7"/>
            <w:noWrap w:val="0"/>
            <w:vAlign w:val="center"/>
          </w:tcPr>
          <w:p w14:paraId="5851386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管控维度</w:t>
            </w:r>
          </w:p>
        </w:tc>
        <w:tc>
          <w:tcPr>
            <w:tcW w:w="6082" w:type="dxa"/>
            <w:shd w:val="clear" w:color="auto" w:fill="D7D7D7"/>
            <w:noWrap w:val="0"/>
            <w:vAlign w:val="center"/>
          </w:tcPr>
          <w:p w14:paraId="7FEF28B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442" w:type="dxa"/>
            <w:shd w:val="clear" w:color="auto" w:fill="D7D7D7"/>
            <w:noWrap w:val="0"/>
            <w:vAlign w:val="center"/>
          </w:tcPr>
          <w:p w14:paraId="31197E8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079DA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77" w:type="dxa"/>
            <w:noWrap w:val="0"/>
            <w:vAlign w:val="center"/>
          </w:tcPr>
          <w:p w14:paraId="72D098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污染物防控目标</w:t>
            </w:r>
          </w:p>
        </w:tc>
        <w:tc>
          <w:tcPr>
            <w:tcW w:w="6082" w:type="dxa"/>
            <w:noWrap w:val="0"/>
            <w:vAlign w:val="center"/>
          </w:tcPr>
          <w:p w14:paraId="7B7206D5">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2025年受污染耕地安全利用率达到95%以上，重点建设用地安全利用得到有效保障</w:t>
            </w:r>
          </w:p>
        </w:tc>
        <w:tc>
          <w:tcPr>
            <w:tcW w:w="1442" w:type="dxa"/>
            <w:noWrap w:val="0"/>
            <w:vAlign w:val="center"/>
          </w:tcPr>
          <w:p w14:paraId="3233F601">
            <w:pPr>
              <w:widowControl/>
              <w:spacing w:line="0" w:lineRule="atLeast"/>
              <w:jc w:val="center"/>
              <w:rPr>
                <w:rFonts w:ascii="仿宋" w:hAnsi="仿宋" w:eastAsia="仿宋" w:cs="仿宋"/>
                <w:b/>
                <w:spacing w:val="-10"/>
                <w:kern w:val="0"/>
                <w:sz w:val="24"/>
              </w:rPr>
            </w:pPr>
            <w:r>
              <w:rPr>
                <w:rFonts w:hint="eastAsia" w:ascii="仿宋" w:hAnsi="仿宋" w:eastAsia="仿宋" w:cs="仿宋"/>
                <w:spacing w:val="-10"/>
                <w:kern w:val="0"/>
                <w:sz w:val="24"/>
              </w:rPr>
              <w:t>《邯郸市土壤与地下水污染防治“十四五”规划》</w:t>
            </w:r>
          </w:p>
        </w:tc>
      </w:tr>
      <w:tr w14:paraId="0CDA0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77" w:type="dxa"/>
            <w:noWrap w:val="0"/>
            <w:vAlign w:val="center"/>
          </w:tcPr>
          <w:p w14:paraId="172667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6082" w:type="dxa"/>
            <w:noWrap w:val="0"/>
            <w:vAlign w:val="center"/>
          </w:tcPr>
          <w:p w14:paraId="7D4AA20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1.在未污染耕地集中区域全面推进高标准农田建设，将符合条件的未污染耕地划入永久基本农田，不得新建有色金属冶炼、石油加工、化工、焦化、电镀、制革、铅蓄电池等可能造成土壤污染的建设项目。</w:t>
            </w:r>
          </w:p>
          <w:p w14:paraId="713DD25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组织对关闭、搬迁、腾退工业企业用地进行全面排查，动态更新疑似污染地块名单、污染地块名录，确保符合《中华人民共和国土壤污染防治法》《污染地块土壤环境管理办法(试行)》等要求的建设用地地块全部纳入全国污染地块土壤环境管理信息系统加强监管。</w:t>
            </w:r>
          </w:p>
          <w:p w14:paraId="0F6B4D7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土壤污染重点监管单位应全面落实土壤污染防治义务，严格控制有毒有害物质排放，制定自行监测方案并组织实施。企业自行监测、隐患排查以及执法部分监督检查发现土壤和地下水污染的，相关企业要制定整改方案和建立台账清单。</w:t>
            </w:r>
          </w:p>
          <w:p w14:paraId="4D41BC9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4.推动工业固废综合利用，促进工业固废减量化、资源化。加强塑料污染防控，强化对生产、使用、销售塑料制品单位的监督检查，有序禁止限制部分塑料制品生产、销售、使用。</w:t>
            </w:r>
          </w:p>
          <w:p w14:paraId="4F18F91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5.2021年底前，配合省相关部门对褐煤开采洗选、非金属肥料和碎屑加工处理、白酒制造、金属家具制造、再生橡胶制造、生物药品制造行业企业等开展用地土壤污染状况调查，进一步摸清相关非重点行业企业土壤污染状况及分布，支撑非重点行业企业用地土壤污染防治和风险管控。</w:t>
            </w:r>
          </w:p>
        </w:tc>
        <w:tc>
          <w:tcPr>
            <w:tcW w:w="1442" w:type="dxa"/>
            <w:vMerge w:val="restart"/>
            <w:noWrap w:val="0"/>
            <w:vAlign w:val="center"/>
          </w:tcPr>
          <w:p w14:paraId="7CBA4B9F">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《河北省2021年土壤污染防治工作方案》(冀土领组〔2021〕1号)、《邯郸市2021年土壤、地下水污染防治和农村污染治理工作方案》(邯土领办〔2021〕3号)</w:t>
            </w:r>
          </w:p>
        </w:tc>
      </w:tr>
      <w:tr w14:paraId="284CB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77" w:type="dxa"/>
            <w:noWrap w:val="0"/>
            <w:vAlign w:val="center"/>
          </w:tcPr>
          <w:p w14:paraId="7ACA5F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污染物排放</w:t>
            </w:r>
          </w:p>
        </w:tc>
        <w:tc>
          <w:tcPr>
            <w:tcW w:w="6082" w:type="dxa"/>
            <w:noWrap w:val="0"/>
            <w:vAlign w:val="center"/>
          </w:tcPr>
          <w:p w14:paraId="157E7EC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1.依法加强未污染耕地土壤的保护，未利用地不得污染和破坏，确保优先保护类耕地面积不减少、土壤环境质量不下降。</w:t>
            </w:r>
          </w:p>
          <w:p w14:paraId="133D6AF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2.治理修复优先采取不影响农业生产、不降低土壤生产功能的农艺、生物修复措施，采取措施防止产生二次污染。</w:t>
            </w:r>
          </w:p>
          <w:p w14:paraId="33829D1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3.严防农业面源污染。持续实施化肥农药减量增效行动，化肥农药使用量持续保持负增长。持续开展耕地周边涉重金属行业企业污染源排查整治，强化耕地土壤污染源头防控。</w:t>
            </w:r>
          </w:p>
          <w:p w14:paraId="7ED8A87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4.加强企业拆除活动污染防治现场检查，督促企业落实拆除活动污染防治措施。</w:t>
            </w:r>
          </w:p>
          <w:p w14:paraId="34A0EB0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5.统筹区域危险废物利用处置能力建设，实现危险废物产生量与利用处置需求的基本匹配。积极推进危险废物环境监管智能监控体系建设，提升危险废物智能化监管水平。</w:t>
            </w:r>
          </w:p>
          <w:p w14:paraId="1D3ECDC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6.加快城镇(园区)污水处理厂管网覆盖范围内村庄污水管网建设。加强集中式污水处理设施建设。统筹厕所粪污无害化集中处理和生活灰水有效管控。</w:t>
            </w:r>
          </w:p>
          <w:p w14:paraId="12587C2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7.继续开展10万亩及以上农田灌溉水水质监测，加强监督检查，防止未经处理或达不到农田灌溉水质标准的废(污)水进入农田灌溉系统。</w:t>
            </w:r>
          </w:p>
        </w:tc>
        <w:tc>
          <w:tcPr>
            <w:tcW w:w="1442" w:type="dxa"/>
            <w:vMerge w:val="continue"/>
            <w:noWrap w:val="0"/>
            <w:vAlign w:val="center"/>
          </w:tcPr>
          <w:p w14:paraId="2259FDE1">
            <w:pPr>
              <w:widowControl/>
              <w:spacing w:line="0" w:lineRule="atLeast"/>
              <w:jc w:val="center"/>
              <w:rPr>
                <w:rFonts w:ascii="仿宋" w:hAnsi="仿宋" w:eastAsia="仿宋" w:cs="仿宋"/>
                <w:spacing w:val="-10"/>
                <w:kern w:val="0"/>
                <w:sz w:val="24"/>
              </w:rPr>
            </w:pPr>
          </w:p>
        </w:tc>
      </w:tr>
      <w:tr w14:paraId="1ED51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77" w:type="dxa"/>
            <w:noWrap w:val="0"/>
            <w:vAlign w:val="center"/>
          </w:tcPr>
          <w:p w14:paraId="1BA4FC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环境风险管控</w:t>
            </w:r>
          </w:p>
        </w:tc>
        <w:tc>
          <w:tcPr>
            <w:tcW w:w="6082" w:type="dxa"/>
            <w:noWrap w:val="0"/>
            <w:vAlign w:val="center"/>
          </w:tcPr>
          <w:p w14:paraId="2168FE4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1.纳入全国污染地块土壤环境管理信息系统的地块，应按照国家有关环境标准和技术规范开展土壤污染状况调查、评估、风险管控或修复。土壤环境质量符合用地规划要求后，方可进入用地程序。</w:t>
            </w:r>
          </w:p>
          <w:p w14:paraId="64A1078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严格落实建设用地土壤污染风险管控和修复名录制度，以用途变更为住宅、公共管理与公共服务用地的污染地块，危险化学品生产企业搬迁改造的遗留地块为重点，采用水泥窑协同处置等适宜方式加快处理污染土壤，加强风险管控和治理修复。对暂不开发利用的污染地块，采取风险管控措施，开展土壤及地下水污染状况监测。</w:t>
            </w:r>
          </w:p>
          <w:p w14:paraId="5C6601A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疑似污染地块或污染地块的土地征收、回收、收购环节，严格执行相关规定，及时查询相关地块土壤环境质量状况。涉及成片污染地块分期分批开发的，以及污染地块周边土地开发的，要优化开发时序，防止受污染土壤及其后续风险管控和修复影响周边拟入驻敏感人群。</w:t>
            </w:r>
          </w:p>
        </w:tc>
        <w:tc>
          <w:tcPr>
            <w:tcW w:w="1442" w:type="dxa"/>
            <w:vMerge w:val="continue"/>
            <w:noWrap w:val="0"/>
            <w:vAlign w:val="center"/>
          </w:tcPr>
          <w:p w14:paraId="0BB162C1">
            <w:pPr>
              <w:widowControl/>
              <w:spacing w:line="0" w:lineRule="atLeast"/>
              <w:jc w:val="center"/>
              <w:rPr>
                <w:rFonts w:ascii="仿宋" w:hAnsi="仿宋" w:eastAsia="仿宋" w:cs="仿宋"/>
                <w:spacing w:val="-10"/>
                <w:kern w:val="0"/>
                <w:sz w:val="24"/>
              </w:rPr>
            </w:pPr>
          </w:p>
        </w:tc>
      </w:tr>
      <w:tr w14:paraId="4A99A4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77" w:type="dxa"/>
            <w:noWrap w:val="0"/>
            <w:vAlign w:val="center"/>
          </w:tcPr>
          <w:p w14:paraId="774088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资源开发利用</w:t>
            </w:r>
          </w:p>
        </w:tc>
        <w:tc>
          <w:tcPr>
            <w:tcW w:w="6082" w:type="dxa"/>
            <w:noWrap w:val="0"/>
            <w:vAlign w:val="center"/>
          </w:tcPr>
          <w:p w14:paraId="4B27C09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根据人口规模和实际产生粪污量、处理覆盖范围等情况，统筹建立区域性厕所粪污无害化集中处理站，或利用已有沼气工程进行集中处理，集中粪污无害化处理设施出水达到农田灌溉标准后可直接用于农田灌溉。制定农村生活灰水收集回用等有效管控措施，通过冲厕、庭院绿化等原位消纳方式、或联户建立集中生态化处理设施处理后中水回用，实现生活污水源头减量、无害化处理。</w:t>
            </w:r>
          </w:p>
          <w:p w14:paraId="6E8D5FE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畜禽规模养殖场粪污处理设施装备配套率达到100%，畜禽粪污综合利用率达到79%。秸秆综合利用率达到97%以上，农膜回收率达到90%以上，持续开展耕地周边涉重金属行业企业污染源排查整治，强化耕地土壤污染源头防控。</w:t>
            </w:r>
          </w:p>
          <w:p w14:paraId="59374D5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3.支持固体废物综合利用项目建设，提高大宗固体废物综合利用效率和水平，加快补齐危险废物处理短板。</w:t>
            </w:r>
          </w:p>
        </w:tc>
        <w:tc>
          <w:tcPr>
            <w:tcW w:w="1442" w:type="dxa"/>
            <w:vMerge w:val="continue"/>
            <w:noWrap w:val="0"/>
            <w:vAlign w:val="center"/>
          </w:tcPr>
          <w:p w14:paraId="06CD7E21">
            <w:pPr>
              <w:widowControl/>
              <w:spacing w:line="0" w:lineRule="atLeast"/>
              <w:jc w:val="center"/>
              <w:rPr>
                <w:rFonts w:ascii="仿宋" w:hAnsi="仿宋" w:eastAsia="仿宋" w:cs="仿宋"/>
                <w:b/>
                <w:spacing w:val="-10"/>
                <w:kern w:val="0"/>
                <w:sz w:val="24"/>
              </w:rPr>
            </w:pPr>
          </w:p>
        </w:tc>
      </w:tr>
    </w:tbl>
    <w:p w14:paraId="14C84522">
      <w:pPr>
        <w:spacing w:before="240"/>
        <w:rPr>
          <w:rFonts w:ascii="仿宋" w:hAnsi="仿宋" w:eastAsia="仿宋" w:cs="仿宋"/>
          <w:bCs/>
          <w:sz w:val="32"/>
          <w:szCs w:val="32"/>
        </w:rPr>
      </w:pPr>
      <w:bookmarkStart w:id="3" w:name="_Toc68701711"/>
      <w:r>
        <w:rPr>
          <w:rFonts w:hint="eastAsia" w:ascii="仿宋" w:hAnsi="仿宋" w:eastAsia="仿宋" w:cs="仿宋"/>
          <w:bCs/>
          <w:sz w:val="32"/>
          <w:szCs w:val="32"/>
        </w:rPr>
        <w:t>（六）全市资源利用总体管控要求</w:t>
      </w:r>
      <w:bookmarkEnd w:id="3"/>
    </w:p>
    <w:p w14:paraId="0EB6343E">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表1.6  </w:t>
      </w:r>
      <w:r>
        <w:rPr>
          <w:rFonts w:hint="eastAsia" w:ascii="仿宋" w:hAnsi="仿宋" w:eastAsia="仿宋" w:cs="仿宋"/>
          <w:b/>
          <w:bCs/>
          <w:sz w:val="32"/>
          <w:szCs w:val="32"/>
        </w:rPr>
        <w:t xml:space="preserve">   全市资源利用总体管控要求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64"/>
        <w:gridCol w:w="689"/>
        <w:gridCol w:w="5556"/>
        <w:gridCol w:w="1892"/>
      </w:tblGrid>
      <w:tr w14:paraId="5BAFB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764" w:type="dxa"/>
            <w:shd w:val="clear" w:color="auto" w:fill="D7D7D7"/>
            <w:noWrap w:val="0"/>
            <w:vAlign w:val="center"/>
          </w:tcPr>
          <w:p w14:paraId="58008A6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属性</w:t>
            </w:r>
          </w:p>
        </w:tc>
        <w:tc>
          <w:tcPr>
            <w:tcW w:w="689" w:type="dxa"/>
            <w:shd w:val="clear" w:color="auto" w:fill="D7D7D7"/>
            <w:noWrap w:val="0"/>
            <w:vAlign w:val="center"/>
          </w:tcPr>
          <w:p w14:paraId="050EBEAB">
            <w:pPr>
              <w:widowControl/>
              <w:spacing w:line="0" w:lineRule="atLeast"/>
              <w:jc w:val="center"/>
              <w:rPr>
                <w:rFonts w:ascii="仿宋" w:hAnsi="仿宋" w:eastAsia="仿宋" w:cs="仿宋"/>
                <w:b/>
                <w:spacing w:val="-10"/>
                <w:kern w:val="0"/>
                <w:sz w:val="24"/>
              </w:rPr>
            </w:pPr>
          </w:p>
        </w:tc>
        <w:tc>
          <w:tcPr>
            <w:tcW w:w="5556" w:type="dxa"/>
            <w:shd w:val="clear" w:color="auto" w:fill="D7D7D7"/>
            <w:noWrap w:val="0"/>
            <w:vAlign w:val="center"/>
          </w:tcPr>
          <w:p w14:paraId="20DDD4C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892" w:type="dxa"/>
            <w:shd w:val="clear" w:color="auto" w:fill="D7D7D7"/>
            <w:noWrap w:val="0"/>
            <w:vAlign w:val="center"/>
          </w:tcPr>
          <w:p w14:paraId="52083D8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5ABA8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4" w:type="dxa"/>
            <w:vMerge w:val="restart"/>
            <w:noWrap w:val="0"/>
            <w:vAlign w:val="center"/>
          </w:tcPr>
          <w:p w14:paraId="3B67649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水资源</w:t>
            </w:r>
          </w:p>
        </w:tc>
        <w:tc>
          <w:tcPr>
            <w:tcW w:w="689" w:type="dxa"/>
            <w:noWrap w:val="0"/>
            <w:vAlign w:val="center"/>
          </w:tcPr>
          <w:p w14:paraId="0FFD24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总量和强度要求</w:t>
            </w:r>
          </w:p>
        </w:tc>
        <w:tc>
          <w:tcPr>
            <w:tcW w:w="5556" w:type="dxa"/>
            <w:noWrap w:val="0"/>
            <w:vAlign w:val="center"/>
          </w:tcPr>
          <w:p w14:paraId="50023FAA">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2025年水资源利用总量22.30亿立方米以下，其中地下水取水量9.71亿立方米以下。</w:t>
            </w:r>
          </w:p>
        </w:tc>
        <w:tc>
          <w:tcPr>
            <w:tcW w:w="1892" w:type="dxa"/>
            <w:noWrap w:val="0"/>
            <w:vAlign w:val="center"/>
          </w:tcPr>
          <w:p w14:paraId="4631CB4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省“三线一单”技术成果》、《河北省实行最严格水资源管理制度用水总量红线控制目标分解方案（2021-2025年)》（冀水资〔2021〕23号）、《邯郸市水利局关于下达邯郸市实行最严格水资源管理制度用水总量红线控制目标（2021-2025年）的通知》(邯水水资〔2021〕16)、《邯郸市生态环境保护“十四五”规划》</w:t>
            </w:r>
          </w:p>
        </w:tc>
      </w:tr>
      <w:tr w14:paraId="617F58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4" w:type="dxa"/>
            <w:vMerge w:val="continue"/>
            <w:noWrap w:val="0"/>
            <w:vAlign w:val="center"/>
          </w:tcPr>
          <w:p w14:paraId="4325FC53">
            <w:pPr>
              <w:widowControl/>
              <w:spacing w:line="0" w:lineRule="atLeast"/>
              <w:jc w:val="center"/>
              <w:rPr>
                <w:rFonts w:ascii="仿宋" w:hAnsi="仿宋" w:eastAsia="仿宋" w:cs="仿宋"/>
                <w:bCs/>
                <w:spacing w:val="-10"/>
                <w:kern w:val="0"/>
                <w:sz w:val="24"/>
              </w:rPr>
            </w:pPr>
          </w:p>
        </w:tc>
        <w:tc>
          <w:tcPr>
            <w:tcW w:w="689" w:type="dxa"/>
            <w:noWrap w:val="0"/>
            <w:vAlign w:val="center"/>
          </w:tcPr>
          <w:p w14:paraId="119117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管控要求</w:t>
            </w:r>
          </w:p>
        </w:tc>
        <w:tc>
          <w:tcPr>
            <w:tcW w:w="5556" w:type="dxa"/>
            <w:noWrap w:val="0"/>
            <w:vAlign w:val="center"/>
          </w:tcPr>
          <w:p w14:paraId="2BD0504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1.强化地下水禁采限采管理。在地下水禁采区，除临时应急供水和无替代水源的农村地区少量分散生活用水外，严禁取用地下水，已有的要限期关闭；在地下水限采区，一律不新增地下水开采量。</w:t>
            </w:r>
          </w:p>
          <w:p w14:paraId="265D4B4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2.在利用地表水灌溉水源有保障的区域和退耕实施雨养旱作的区域，对农业灌溉机井实施封填；在深层承压水漏斗区，对农业灌溉取用深层承压水的机井有计划予以关停。</w:t>
            </w:r>
          </w:p>
          <w:p w14:paraId="631269D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3.实行严格的产业准入制度，对地下水超采地区，严把取水许可关口，不得新建扩建高耗水项目。</w:t>
            </w:r>
          </w:p>
          <w:p w14:paraId="270F8C7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4.加快城镇供水水源置换。充分利用当地水和外调水，加快配套供水工程建设，加大水源切换力度，强制性关闭自备井，有效压减城镇生活和工业地下水开采量。</w:t>
            </w:r>
          </w:p>
        </w:tc>
        <w:tc>
          <w:tcPr>
            <w:tcW w:w="1892" w:type="dxa"/>
            <w:noWrap w:val="0"/>
            <w:vAlign w:val="center"/>
          </w:tcPr>
          <w:p w14:paraId="22C1345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《华北地区地下水超采综合治理行动方案》</w:t>
            </w:r>
          </w:p>
        </w:tc>
      </w:tr>
      <w:tr w14:paraId="49345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4" w:type="dxa"/>
            <w:vMerge w:val="restart"/>
            <w:noWrap w:val="0"/>
            <w:vAlign w:val="center"/>
          </w:tcPr>
          <w:p w14:paraId="2BD8696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能源</w:t>
            </w:r>
          </w:p>
        </w:tc>
        <w:tc>
          <w:tcPr>
            <w:tcW w:w="689" w:type="dxa"/>
            <w:noWrap w:val="0"/>
            <w:vAlign w:val="center"/>
          </w:tcPr>
          <w:p w14:paraId="7D698E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总量和强度要求</w:t>
            </w:r>
          </w:p>
        </w:tc>
        <w:tc>
          <w:tcPr>
            <w:tcW w:w="5556" w:type="dxa"/>
            <w:noWrap w:val="0"/>
            <w:vAlign w:val="center"/>
          </w:tcPr>
          <w:p w14:paraId="2772A4D3">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到2025年，全市万元生产总值能耗和用水量比2020年分别下降18%和15.4%。全社会煤炭消费、万元生产总值二氧化碳排放削减量完成省定任务。</w:t>
            </w:r>
          </w:p>
        </w:tc>
        <w:tc>
          <w:tcPr>
            <w:tcW w:w="1892" w:type="dxa"/>
            <w:noWrap w:val="0"/>
            <w:vAlign w:val="center"/>
          </w:tcPr>
          <w:p w14:paraId="3CE0D33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《邯郸市“十四五”节能减排综合实施方案》</w:t>
            </w:r>
          </w:p>
        </w:tc>
      </w:tr>
      <w:tr w14:paraId="78006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4" w:type="dxa"/>
            <w:vMerge w:val="continue"/>
            <w:noWrap w:val="0"/>
            <w:vAlign w:val="center"/>
          </w:tcPr>
          <w:p w14:paraId="2577FD0E">
            <w:pPr>
              <w:widowControl/>
              <w:spacing w:line="0" w:lineRule="atLeast"/>
              <w:jc w:val="center"/>
              <w:rPr>
                <w:rFonts w:ascii="仿宋" w:hAnsi="仿宋" w:eastAsia="仿宋" w:cs="仿宋"/>
                <w:bCs/>
                <w:spacing w:val="-10"/>
                <w:kern w:val="0"/>
                <w:sz w:val="24"/>
              </w:rPr>
            </w:pPr>
          </w:p>
        </w:tc>
        <w:tc>
          <w:tcPr>
            <w:tcW w:w="689" w:type="dxa"/>
            <w:noWrap w:val="0"/>
            <w:vAlign w:val="center"/>
          </w:tcPr>
          <w:p w14:paraId="1B2CA77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管控要求</w:t>
            </w:r>
          </w:p>
        </w:tc>
        <w:tc>
          <w:tcPr>
            <w:tcW w:w="5556" w:type="dxa"/>
            <w:noWrap w:val="0"/>
            <w:vAlign w:val="center"/>
          </w:tcPr>
          <w:p w14:paraId="77ACF407">
            <w:pPr>
              <w:widowControl/>
              <w:spacing w:line="0" w:lineRule="atLeast"/>
              <w:ind w:firstLine="440" w:firstLineChars="200"/>
              <w:rPr>
                <w:rFonts w:ascii="仿宋" w:hAnsi="仿宋" w:eastAsia="仿宋" w:cs="仿宋"/>
                <w:bCs/>
                <w:spacing w:val="-14"/>
                <w:kern w:val="0"/>
                <w:sz w:val="24"/>
              </w:rPr>
            </w:pPr>
            <w:r>
              <w:rPr>
                <w:rFonts w:hint="eastAsia" w:ascii="仿宋" w:hAnsi="仿宋" w:eastAsia="仿宋" w:cs="仿宋"/>
                <w:bCs/>
                <w:spacing w:val="-10"/>
                <w:kern w:val="0"/>
                <w:sz w:val="24"/>
              </w:rPr>
              <w:t>1.</w:t>
            </w:r>
            <w:r>
              <w:rPr>
                <w:rFonts w:hint="eastAsia" w:ascii="仿宋" w:hAnsi="仿宋" w:eastAsia="仿宋" w:cs="仿宋"/>
                <w:bCs/>
                <w:spacing w:val="-14"/>
                <w:kern w:val="0"/>
                <w:sz w:val="24"/>
              </w:rPr>
              <w:t>采取措施，调整能源结构，推广清洁能源的生产和使用；优化煤炭使用方式，推广煤炭清洁高效利用，逐步降低煤炭在一次能源消费中的比重，减少煤炭生产、使用、转化过程中的大气污染物排放。</w:t>
            </w:r>
          </w:p>
          <w:p w14:paraId="392D7671">
            <w:pPr>
              <w:widowControl/>
              <w:spacing w:line="0" w:lineRule="atLeast"/>
              <w:ind w:firstLine="440" w:firstLineChars="200"/>
              <w:rPr>
                <w:rFonts w:ascii="仿宋" w:hAnsi="仿宋" w:eastAsia="仿宋" w:cs="仿宋"/>
                <w:bCs/>
                <w:spacing w:val="-14"/>
                <w:kern w:val="0"/>
                <w:sz w:val="24"/>
              </w:rPr>
            </w:pPr>
            <w:r>
              <w:rPr>
                <w:rFonts w:hint="eastAsia" w:ascii="仿宋" w:hAnsi="仿宋" w:eastAsia="仿宋" w:cs="仿宋"/>
                <w:bCs/>
                <w:spacing w:val="-10"/>
                <w:kern w:val="0"/>
                <w:sz w:val="24"/>
              </w:rPr>
              <w:t>2.国家推行煤炭洗选加工，降低煤炭的硫分和灰分，限制高硫分、高灰分煤炭的开采。禁止开采含放射性和砷等有毒有害物质超过规定标准的煤炭。</w:t>
            </w:r>
          </w:p>
          <w:p w14:paraId="43AE805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严控工业和民用燃煤质量，面向工业用销售的煤炭经营企业(网点)要严格执行《工业和民用燃料煤》（DB13/2081-2014）中关于工业用煤的标准规定；面向民用销售的型煤生产企业要严格执行国家强制性标准《商品煤质量民用散煤》（GB34169-2017）中“1号”质量指标的规定。</w:t>
            </w:r>
          </w:p>
          <w:p w14:paraId="55B0516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4.对新增耗煤项目实施等(减)量替代。</w:t>
            </w:r>
          </w:p>
          <w:p w14:paraId="4547046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5.平原地区农村全部完成生活和冬季取暖散煤替代，实现散煤动态清零。</w:t>
            </w:r>
          </w:p>
        </w:tc>
        <w:tc>
          <w:tcPr>
            <w:tcW w:w="1892" w:type="dxa"/>
            <w:noWrap w:val="0"/>
            <w:vAlign w:val="center"/>
          </w:tcPr>
          <w:p w14:paraId="1DFF4CF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《中华人民共和国大气污染防治法》（2018修订）、</w:t>
            </w:r>
            <w:r>
              <w:rPr>
                <w:rFonts w:hint="eastAsia" w:ascii="仿宋" w:hAnsi="仿宋" w:eastAsia="仿宋" w:cs="仿宋"/>
                <w:spacing w:val="-10"/>
                <w:kern w:val="0"/>
                <w:sz w:val="24"/>
              </w:rPr>
              <w:t>《邯郸市空气质量综合指数“退后十”攻坚行动方案》（邯文〔2021〕12号）</w:t>
            </w:r>
          </w:p>
        </w:tc>
      </w:tr>
      <w:tr w14:paraId="6975D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4" w:type="dxa"/>
            <w:vMerge w:val="restart"/>
            <w:noWrap w:val="0"/>
            <w:vAlign w:val="center"/>
          </w:tcPr>
          <w:p w14:paraId="3A3623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土地资源</w:t>
            </w:r>
          </w:p>
        </w:tc>
        <w:tc>
          <w:tcPr>
            <w:tcW w:w="689" w:type="dxa"/>
            <w:noWrap w:val="0"/>
            <w:vAlign w:val="center"/>
          </w:tcPr>
          <w:p w14:paraId="1D3348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总量和强度要求</w:t>
            </w:r>
          </w:p>
        </w:tc>
        <w:tc>
          <w:tcPr>
            <w:tcW w:w="5556" w:type="dxa"/>
            <w:noWrap w:val="0"/>
            <w:vAlign w:val="center"/>
          </w:tcPr>
          <w:p w14:paraId="5C6F163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2025年邯郸市耕地保有量592940公顷（889.41万亩），永久基本农田保护面积524640公顷（786.96万亩），城镇开发边界扩展倍数≤1.3；2035年邯郸市耕地保有量592940公顷（889.41万亩），永久基本农田保护面积524640公顷（786.96万亩），城镇开发边界扩展倍数≤1.3。</w:t>
            </w:r>
          </w:p>
        </w:tc>
        <w:tc>
          <w:tcPr>
            <w:tcW w:w="1892" w:type="dxa"/>
            <w:noWrap w:val="0"/>
            <w:vAlign w:val="center"/>
          </w:tcPr>
          <w:p w14:paraId="1F27FEC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《邯郸市国土空间总体规划（2021-2035年）》（初步成果）和征求意见稿</w:t>
            </w:r>
          </w:p>
        </w:tc>
      </w:tr>
      <w:tr w14:paraId="01445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4" w:type="dxa"/>
            <w:vMerge w:val="continue"/>
            <w:noWrap w:val="0"/>
            <w:vAlign w:val="center"/>
          </w:tcPr>
          <w:p w14:paraId="5482C38F">
            <w:pPr>
              <w:widowControl/>
              <w:spacing w:line="0" w:lineRule="atLeast"/>
              <w:jc w:val="center"/>
              <w:rPr>
                <w:rFonts w:ascii="仿宋" w:hAnsi="仿宋" w:eastAsia="仿宋" w:cs="仿宋"/>
                <w:bCs/>
                <w:spacing w:val="-10"/>
                <w:kern w:val="0"/>
                <w:sz w:val="24"/>
              </w:rPr>
            </w:pPr>
          </w:p>
        </w:tc>
        <w:tc>
          <w:tcPr>
            <w:tcW w:w="689" w:type="dxa"/>
            <w:noWrap w:val="0"/>
            <w:vAlign w:val="center"/>
          </w:tcPr>
          <w:p w14:paraId="4BDC8F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管控要求</w:t>
            </w:r>
          </w:p>
        </w:tc>
        <w:tc>
          <w:tcPr>
            <w:tcW w:w="5556" w:type="dxa"/>
            <w:noWrap w:val="0"/>
            <w:vAlign w:val="center"/>
          </w:tcPr>
          <w:p w14:paraId="2F6C020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1.国家保护耕地，严格控制耕地转为非耕地。国家实行占用耕地补偿制度。</w:t>
            </w:r>
          </w:p>
          <w:p w14:paraId="68F72BD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2.禁止占用耕地建窑、建坟或者擅自在耕地上建房、挖砂、采石、采矿、取土等。禁止占用永久基本农田发展林果业和挖塘养鱼。</w:t>
            </w:r>
          </w:p>
          <w:p w14:paraId="59BC3535">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3.建设占用土地，涉及农用地转为建设用地的，应当办理农用地转用审批手续。</w:t>
            </w:r>
          </w:p>
        </w:tc>
        <w:tc>
          <w:tcPr>
            <w:tcW w:w="1892" w:type="dxa"/>
            <w:noWrap w:val="0"/>
            <w:vAlign w:val="center"/>
          </w:tcPr>
          <w:p w14:paraId="432D8D37">
            <w:pPr>
              <w:widowControl/>
              <w:spacing w:line="0" w:lineRule="atLeast"/>
              <w:jc w:val="center"/>
              <w:rPr>
                <w:rFonts w:ascii="仿宋" w:hAnsi="仿宋" w:eastAsia="仿宋" w:cs="仿宋"/>
                <w:b/>
                <w:spacing w:val="-10"/>
                <w:kern w:val="0"/>
                <w:sz w:val="24"/>
              </w:rPr>
            </w:pPr>
            <w:r>
              <w:rPr>
                <w:rFonts w:hint="eastAsia" w:ascii="仿宋" w:hAnsi="仿宋" w:eastAsia="仿宋" w:cs="仿宋"/>
                <w:bCs/>
                <w:spacing w:val="-10"/>
                <w:kern w:val="0"/>
                <w:sz w:val="24"/>
              </w:rPr>
              <w:t>《中华人民共和国土地管理法》（2019修正）</w:t>
            </w:r>
          </w:p>
        </w:tc>
      </w:tr>
    </w:tbl>
    <w:p w14:paraId="2F315B1B">
      <w:pPr>
        <w:pStyle w:val="10"/>
        <w:numPr>
          <w:ilvl w:val="1"/>
          <w:numId w:val="0"/>
        </w:numPr>
        <w:spacing w:beforeLines="50"/>
        <w:ind w:firstLine="640" w:firstLineChars="200"/>
        <w:outlineLvl w:val="1"/>
        <w:rPr>
          <w:rFonts w:ascii="仿宋" w:hAnsi="仿宋" w:eastAsia="仿宋" w:cs="仿宋"/>
          <w:bCs/>
          <w:sz w:val="32"/>
          <w:szCs w:val="32"/>
        </w:rPr>
      </w:pPr>
      <w:bookmarkStart w:id="4" w:name="_Toc68701712"/>
      <w:r>
        <w:rPr>
          <w:rFonts w:hint="eastAsia" w:ascii="仿宋" w:hAnsi="仿宋" w:eastAsia="仿宋" w:cs="仿宋"/>
          <w:bCs/>
          <w:sz w:val="32"/>
          <w:szCs w:val="32"/>
        </w:rPr>
        <w:t>（七）全市产业布局相关总体管控要求</w:t>
      </w:r>
      <w:bookmarkEnd w:id="4"/>
    </w:p>
    <w:p w14:paraId="04CB0CBB">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表1.7   </w:t>
      </w:r>
      <w:r>
        <w:rPr>
          <w:rFonts w:hint="eastAsia" w:ascii="仿宋" w:hAnsi="仿宋" w:eastAsia="仿宋" w:cs="仿宋"/>
          <w:b/>
          <w:bCs/>
          <w:sz w:val="32"/>
          <w:szCs w:val="32"/>
        </w:rPr>
        <w:t xml:space="preserve">  全市产业布局总体管控要求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92"/>
        <w:gridCol w:w="5919"/>
        <w:gridCol w:w="1890"/>
      </w:tblGrid>
      <w:tr w14:paraId="439D8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092" w:type="dxa"/>
            <w:shd w:val="clear" w:color="auto" w:fill="D7D7D7"/>
            <w:noWrap w:val="0"/>
            <w:vAlign w:val="center"/>
          </w:tcPr>
          <w:p w14:paraId="2236DDB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产业</w:t>
            </w:r>
          </w:p>
        </w:tc>
        <w:tc>
          <w:tcPr>
            <w:tcW w:w="5919" w:type="dxa"/>
            <w:shd w:val="clear" w:color="auto" w:fill="D7D7D7"/>
            <w:noWrap w:val="0"/>
            <w:vAlign w:val="center"/>
          </w:tcPr>
          <w:p w14:paraId="704C845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890" w:type="dxa"/>
            <w:shd w:val="clear" w:color="auto" w:fill="D7D7D7"/>
            <w:noWrap w:val="0"/>
            <w:vAlign w:val="center"/>
          </w:tcPr>
          <w:p w14:paraId="41EFE6B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2A4EF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092" w:type="dxa"/>
            <w:noWrap w:val="0"/>
            <w:vAlign w:val="center"/>
          </w:tcPr>
          <w:p w14:paraId="155151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产业布局总体要求</w:t>
            </w:r>
          </w:p>
        </w:tc>
        <w:tc>
          <w:tcPr>
            <w:tcW w:w="5919" w:type="dxa"/>
            <w:noWrap w:val="0"/>
            <w:vAlign w:val="center"/>
          </w:tcPr>
          <w:p w14:paraId="5514847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严把项目准入关。严格落实生态保护红线、环境质量底线、资源利用上线、环境准入清单和产业准入政策，严格落实钢铁、水泥、平板玻璃等行业产能置换政策，严禁新增钢铁、焦化、水泥和平板玻璃等产能，禁止新增化工园区。</w:t>
            </w:r>
          </w:p>
          <w:p w14:paraId="23924A6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2.进一步优化产业结构。以提升产业链水平为方向，推动产业向中高端迈进，优化提升精品钢材、装备制造、食品加工、现代物流、文化旅游五大现有优势产业，培育壮大新材料、新能源、生物健康三大新兴产业，谋划布局安防应急、电子信息和网络两大未来产业，构建高新技术产业优势凸显、现代服务业支撑强劲、传统产业优质高效的产业发展格局。</w:t>
            </w:r>
          </w:p>
          <w:p w14:paraId="53948B6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3.</w:t>
            </w:r>
            <w:r>
              <w:rPr>
                <w:rFonts w:hint="eastAsia" w:ascii="仿宋" w:hAnsi="仿宋" w:eastAsia="仿宋" w:cs="仿宋"/>
                <w:bCs/>
                <w:spacing w:val="-10"/>
                <w:kern w:val="0"/>
                <w:sz w:val="24"/>
              </w:rPr>
              <w:t>加快调整不符合生态环境功能定位的产业布局、产业规模和产业结构，明确禁止和限制发展的行业、生产工艺和产业目录。</w:t>
            </w:r>
          </w:p>
          <w:p w14:paraId="669A7D83">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4.发展壮大“532”市域主导产业，加快新旧动能转换。提升传统优势产业发展能级，完成钢铁产业整合重组，延伸钢铁产业链条，加快建设全国重要精品钢材生产基地，形成“一集群五基地”产业格局。。</w:t>
            </w:r>
          </w:p>
        </w:tc>
        <w:tc>
          <w:tcPr>
            <w:tcW w:w="1890" w:type="dxa"/>
            <w:vMerge w:val="restart"/>
            <w:noWrap w:val="0"/>
            <w:vAlign w:val="center"/>
          </w:tcPr>
          <w:p w14:paraId="0E25D8AA">
            <w:pPr>
              <w:widowControl/>
              <w:spacing w:line="0" w:lineRule="atLeast"/>
              <w:jc w:val="center"/>
              <w:rPr>
                <w:rFonts w:hint="eastAsia" w:ascii="仿宋" w:hAnsi="仿宋" w:eastAsia="仿宋" w:cs="仿宋"/>
                <w:bCs/>
                <w:spacing w:val="-10"/>
                <w:kern w:val="0"/>
                <w:sz w:val="24"/>
                <w:lang w:eastAsia="zh-CN"/>
              </w:rPr>
            </w:pPr>
            <w:r>
              <w:rPr>
                <w:rFonts w:hint="eastAsia" w:ascii="仿宋" w:hAnsi="仿宋" w:eastAsia="仿宋" w:cs="仿宋"/>
                <w:spacing w:val="-10"/>
                <w:kern w:val="0"/>
                <w:sz w:val="24"/>
              </w:rPr>
              <w:t>《河北省2021年大气污染综合治理工作方案》（冀气领组〔2021〕2号）、《邯郸市空气质量综合指数“退后十”攻坚行动方案》（邯文〔2021〕12号）</w:t>
            </w:r>
            <w:r>
              <w:rPr>
                <w:rFonts w:hint="eastAsia" w:ascii="仿宋" w:hAnsi="仿宋" w:eastAsia="仿宋" w:cs="仿宋"/>
                <w:bCs/>
                <w:spacing w:val="-10"/>
                <w:kern w:val="0"/>
                <w:sz w:val="24"/>
              </w:rPr>
              <w:t>、《关于进一步强化园区规划环境影响评价工作管理的通知》（冀环环评函〔2019〕709号）</w:t>
            </w:r>
            <w:r>
              <w:rPr>
                <w:rFonts w:hint="eastAsia" w:ascii="仿宋" w:hAnsi="仿宋" w:eastAsia="仿宋" w:cs="仿宋"/>
                <w:bCs/>
                <w:spacing w:val="-10"/>
                <w:kern w:val="0"/>
                <w:sz w:val="24"/>
                <w:lang w:eastAsia="zh-CN"/>
              </w:rPr>
              <w:t>、《邯郸市生态环境保护“十四五”规划》</w:t>
            </w:r>
          </w:p>
        </w:tc>
      </w:tr>
      <w:tr w14:paraId="701DC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092" w:type="dxa"/>
            <w:noWrap w:val="0"/>
            <w:vAlign w:val="center"/>
          </w:tcPr>
          <w:p w14:paraId="414B3E9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项目入园准入要求</w:t>
            </w:r>
          </w:p>
        </w:tc>
        <w:tc>
          <w:tcPr>
            <w:tcW w:w="5919" w:type="dxa"/>
            <w:noWrap w:val="0"/>
            <w:vAlign w:val="center"/>
          </w:tcPr>
          <w:p w14:paraId="6D7976E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1.造纸、焦化、氮肥、有色金属、印染、农副食品加工、原料药制造、皮革、农药、电镀、钢铁、水泥、平板玻璃、石灰、石化、化工等高污染工业项目必须入园进区，其他工业项目原则上也不在园区外布局。</w:t>
            </w:r>
          </w:p>
          <w:p w14:paraId="65802F2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2.新（改、扩）建钢铁、石化、化工、焦化、建材、有色等项目的环境影响评价，应满足区域、规划环评要求。</w:t>
            </w:r>
          </w:p>
        </w:tc>
        <w:tc>
          <w:tcPr>
            <w:tcW w:w="1890" w:type="dxa"/>
            <w:vMerge w:val="continue"/>
            <w:noWrap w:val="0"/>
            <w:vAlign w:val="center"/>
          </w:tcPr>
          <w:p w14:paraId="7E29A473">
            <w:pPr>
              <w:widowControl/>
              <w:spacing w:line="0" w:lineRule="atLeast"/>
              <w:jc w:val="center"/>
              <w:rPr>
                <w:rFonts w:ascii="仿宋" w:hAnsi="仿宋" w:eastAsia="仿宋" w:cs="仿宋"/>
                <w:bCs/>
                <w:spacing w:val="-10"/>
                <w:kern w:val="0"/>
                <w:sz w:val="24"/>
              </w:rPr>
            </w:pPr>
          </w:p>
        </w:tc>
      </w:tr>
    </w:tbl>
    <w:p w14:paraId="4FE4FB3D">
      <w:pPr>
        <w:pStyle w:val="10"/>
        <w:ind w:left="0" w:leftChars="0" w:firstLine="0" w:firstLineChars="0"/>
        <w:jc w:val="left"/>
        <w:outlineLvl w:val="0"/>
        <w:rPr>
          <w:rFonts w:ascii="仿宋" w:hAnsi="仿宋" w:eastAsia="仿宋" w:cs="仿宋"/>
          <w:bCs/>
          <w:sz w:val="32"/>
          <w:szCs w:val="20"/>
        </w:rPr>
      </w:pPr>
      <w:r>
        <w:rPr>
          <w:rFonts w:hint="eastAsia" w:ascii="仿宋" w:hAnsi="仿宋" w:eastAsia="仿宋" w:cs="仿宋"/>
          <w:bCs/>
          <w:sz w:val="32"/>
          <w:szCs w:val="20"/>
        </w:rPr>
        <w:br w:type="page"/>
      </w:r>
      <w:bookmarkStart w:id="5" w:name="_Toc68701713"/>
      <w:r>
        <w:rPr>
          <w:rFonts w:hint="eastAsia" w:ascii="仿宋" w:hAnsi="仿宋" w:eastAsia="仿宋" w:cs="仿宋"/>
          <w:sz w:val="32"/>
          <w:szCs w:val="32"/>
        </w:rPr>
        <w:t>二、分区总体管控要求</w:t>
      </w:r>
      <w:bookmarkEnd w:id="5"/>
    </w:p>
    <w:p w14:paraId="36A62E71">
      <w:pPr>
        <w:pStyle w:val="10"/>
        <w:ind w:left="0" w:leftChars="0" w:firstLine="0" w:firstLineChars="0"/>
        <w:jc w:val="center"/>
        <w:rPr>
          <w:rFonts w:ascii="仿宋" w:hAnsi="仿宋" w:eastAsia="仿宋" w:cs="仿宋"/>
          <w:b/>
          <w:bCs/>
          <w:sz w:val="32"/>
          <w:szCs w:val="32"/>
        </w:rPr>
      </w:pPr>
      <w:r>
        <w:rPr>
          <w:rFonts w:hint="eastAsia" w:ascii="仿宋" w:hAnsi="仿宋" w:eastAsia="仿宋" w:cs="仿宋"/>
          <w:bCs/>
          <w:sz w:val="32"/>
          <w:szCs w:val="32"/>
        </w:rPr>
        <w:t xml:space="preserve">表2.1   </w:t>
      </w:r>
      <w:r>
        <w:rPr>
          <w:rFonts w:hint="eastAsia" w:ascii="仿宋" w:hAnsi="仿宋" w:eastAsia="仿宋" w:cs="仿宋"/>
          <w:b/>
          <w:bCs/>
          <w:sz w:val="32"/>
          <w:szCs w:val="32"/>
        </w:rPr>
        <w:t xml:space="preserve">  分区管控要求</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52"/>
        <w:gridCol w:w="1243"/>
        <w:gridCol w:w="782"/>
        <w:gridCol w:w="4581"/>
        <w:gridCol w:w="1643"/>
      </w:tblGrid>
      <w:tr w14:paraId="327EB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652" w:type="dxa"/>
            <w:shd w:val="clear" w:color="auto" w:fill="D7D7D7"/>
            <w:noWrap w:val="0"/>
            <w:vAlign w:val="center"/>
          </w:tcPr>
          <w:p w14:paraId="6B714AE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分区</w:t>
            </w:r>
          </w:p>
        </w:tc>
        <w:tc>
          <w:tcPr>
            <w:tcW w:w="1243" w:type="dxa"/>
            <w:shd w:val="clear" w:color="auto" w:fill="D7D7D7"/>
            <w:noWrap w:val="0"/>
            <w:vAlign w:val="center"/>
          </w:tcPr>
          <w:p w14:paraId="5134D3B5">
            <w:pPr>
              <w:widowControl/>
              <w:spacing w:line="0" w:lineRule="atLeast"/>
              <w:jc w:val="center"/>
              <w:rPr>
                <w:rFonts w:hint="eastAsia" w:ascii="仿宋" w:hAnsi="仿宋" w:eastAsia="仿宋" w:cs="仿宋"/>
                <w:b/>
                <w:spacing w:val="-10"/>
                <w:kern w:val="0"/>
                <w:sz w:val="24"/>
              </w:rPr>
            </w:pPr>
            <w:r>
              <w:rPr>
                <w:rFonts w:hint="eastAsia" w:ascii="仿宋" w:hAnsi="仿宋" w:eastAsia="仿宋" w:cs="仿宋"/>
                <w:b/>
                <w:spacing w:val="-10"/>
                <w:kern w:val="0"/>
                <w:sz w:val="24"/>
              </w:rPr>
              <w:t>生态环境</w:t>
            </w:r>
          </w:p>
          <w:p w14:paraId="11AEE16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问题</w:t>
            </w:r>
          </w:p>
        </w:tc>
        <w:tc>
          <w:tcPr>
            <w:tcW w:w="5363" w:type="dxa"/>
            <w:gridSpan w:val="2"/>
            <w:shd w:val="clear" w:color="auto" w:fill="D7D7D7"/>
            <w:noWrap w:val="0"/>
            <w:vAlign w:val="center"/>
          </w:tcPr>
          <w:p w14:paraId="2565AA2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  控  要  求</w:t>
            </w:r>
          </w:p>
        </w:tc>
        <w:tc>
          <w:tcPr>
            <w:tcW w:w="1643" w:type="dxa"/>
            <w:shd w:val="clear" w:color="auto" w:fill="D7D7D7"/>
            <w:noWrap w:val="0"/>
            <w:vAlign w:val="center"/>
          </w:tcPr>
          <w:p w14:paraId="12D02E5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依  据</w:t>
            </w:r>
          </w:p>
        </w:tc>
      </w:tr>
      <w:tr w14:paraId="289E3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restart"/>
            <w:shd w:val="clear" w:color="auto" w:fill="FFFFFF"/>
            <w:noWrap w:val="0"/>
            <w:vAlign w:val="center"/>
          </w:tcPr>
          <w:p w14:paraId="45A5F33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西部生态涵养修复区</w:t>
            </w:r>
          </w:p>
        </w:tc>
        <w:tc>
          <w:tcPr>
            <w:tcW w:w="1243" w:type="dxa"/>
            <w:vMerge w:val="restart"/>
            <w:shd w:val="clear" w:color="auto" w:fill="FFFFFF"/>
            <w:noWrap w:val="0"/>
            <w:vAlign w:val="center"/>
          </w:tcPr>
          <w:p w14:paraId="1467E3B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1.生态红线分布占比大，生态环境较敏感和脆弱。2.矿产资源丰富，开采过程造成生态破坏及塌陷区等生态环境问题。3.位于水源通道上游，是水环境的重要保障区。4.产业结构偏重、污染物排放强度大。</w:t>
            </w:r>
          </w:p>
        </w:tc>
        <w:tc>
          <w:tcPr>
            <w:tcW w:w="782" w:type="dxa"/>
            <w:shd w:val="clear" w:color="auto" w:fill="FFFFFF"/>
            <w:noWrap w:val="0"/>
            <w:vAlign w:val="center"/>
          </w:tcPr>
          <w:p w14:paraId="7A8F6449">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空间布局</w:t>
            </w:r>
          </w:p>
        </w:tc>
        <w:tc>
          <w:tcPr>
            <w:tcW w:w="4581" w:type="dxa"/>
            <w:shd w:val="clear" w:color="auto" w:fill="FFFFFF"/>
            <w:noWrap w:val="0"/>
            <w:vAlign w:val="center"/>
          </w:tcPr>
          <w:p w14:paraId="0B20218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生态保护红线区内执行全市总体管控要求。加大主要源头河流沿线和周边生态环境综合整治。加强生态环境保护和修复，加大矿山生态修复、污染防治和地面塌陷区治理。开展流域水土保持工程，维系流域生态系统平衡。</w:t>
            </w:r>
          </w:p>
          <w:p w14:paraId="0776438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2.按照国家《绿色矿山建设规范》要求，推动全市所有露天矿山绿色标准化建设。</w:t>
            </w:r>
          </w:p>
        </w:tc>
        <w:tc>
          <w:tcPr>
            <w:tcW w:w="1643" w:type="dxa"/>
            <w:shd w:val="clear" w:color="auto" w:fill="FFFFFF"/>
            <w:noWrap w:val="0"/>
            <w:vAlign w:val="center"/>
          </w:tcPr>
          <w:p w14:paraId="4351280A">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《邯郸市空气质量综合指数“退后十”攻坚行动方案》（邯文〔2021〕12号）</w:t>
            </w:r>
          </w:p>
        </w:tc>
      </w:tr>
      <w:tr w14:paraId="24845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3A7F47E1">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2D5E6635">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7934C93C">
            <w:pPr>
              <w:widowControl/>
              <w:spacing w:line="0" w:lineRule="atLeast"/>
              <w:jc w:val="center"/>
              <w:rPr>
                <w:rFonts w:ascii="仿宋" w:hAnsi="仿宋" w:eastAsia="仿宋" w:cs="仿宋"/>
                <w:spacing w:val="-10"/>
                <w:kern w:val="0"/>
                <w:sz w:val="24"/>
              </w:rPr>
            </w:pPr>
            <w:r>
              <w:rPr>
                <w:rFonts w:hint="eastAsia" w:ascii="仿宋" w:hAnsi="仿宋" w:eastAsia="仿宋" w:cs="仿宋"/>
                <w:spacing w:val="-23"/>
                <w:kern w:val="0"/>
                <w:sz w:val="24"/>
              </w:rPr>
              <w:t>污染物排放管控</w:t>
            </w:r>
          </w:p>
        </w:tc>
        <w:tc>
          <w:tcPr>
            <w:tcW w:w="4581" w:type="dxa"/>
            <w:shd w:val="clear" w:color="auto" w:fill="FFFFFF"/>
            <w:noWrap w:val="0"/>
            <w:vAlign w:val="center"/>
          </w:tcPr>
          <w:p w14:paraId="0FDEF44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1.水源保护区内污染物排放按照《中华人民共和国水污染防治法》相关要求。</w:t>
            </w:r>
          </w:p>
          <w:p w14:paraId="5F108B8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2.在自然保护区的实验区内，不得建设污染环境、破坏资源或者景观的生产设施；建设其他项目，其污染物排放不得超过国家和地方规定的污染物排放标准。</w:t>
            </w:r>
          </w:p>
        </w:tc>
        <w:tc>
          <w:tcPr>
            <w:tcW w:w="1643" w:type="dxa"/>
            <w:shd w:val="clear" w:color="auto" w:fill="FFFFFF"/>
            <w:noWrap w:val="0"/>
            <w:vAlign w:val="center"/>
          </w:tcPr>
          <w:p w14:paraId="37AA5A1F">
            <w:pPr>
              <w:widowControl/>
              <w:spacing w:line="0" w:lineRule="atLeast"/>
              <w:jc w:val="center"/>
              <w:rPr>
                <w:rFonts w:ascii="仿宋" w:hAnsi="仿宋" w:eastAsia="仿宋" w:cs="仿宋"/>
                <w:b/>
                <w:spacing w:val="-10"/>
                <w:kern w:val="0"/>
                <w:sz w:val="24"/>
              </w:rPr>
            </w:pPr>
            <w:r>
              <w:rPr>
                <w:rFonts w:hint="eastAsia" w:ascii="仿宋" w:hAnsi="仿宋" w:eastAsia="仿宋" w:cs="仿宋"/>
                <w:bCs/>
                <w:spacing w:val="-10"/>
                <w:kern w:val="0"/>
                <w:sz w:val="24"/>
              </w:rPr>
              <w:t>《中华人民共和国水污染防治法》（中华人民共和国主席令第八十七号）、《中华人民共和国自然保护区条例》（2017年修订）</w:t>
            </w:r>
          </w:p>
        </w:tc>
      </w:tr>
      <w:tr w14:paraId="22E94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37DEF247">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7C63026B">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5573F7F4">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环境风险防控</w:t>
            </w:r>
          </w:p>
        </w:tc>
        <w:tc>
          <w:tcPr>
            <w:tcW w:w="4581" w:type="dxa"/>
            <w:shd w:val="clear" w:color="auto" w:fill="FFFFFF"/>
            <w:noWrap w:val="0"/>
            <w:vAlign w:val="center"/>
          </w:tcPr>
          <w:p w14:paraId="1811DCF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饮用水水源发生水污染事故，或者发生其他可能影响饮用水安全的突发性事件，饮用水供水单位应当采取应急处理措施，向所在地市、县级人民政府报告，并向社会公开。有关人民政府应当根据情况及时启动应急预案，采取有效措施，保障供水安全。</w:t>
            </w:r>
          </w:p>
        </w:tc>
        <w:tc>
          <w:tcPr>
            <w:tcW w:w="1643" w:type="dxa"/>
            <w:shd w:val="clear" w:color="auto" w:fill="FFFFFF"/>
            <w:noWrap w:val="0"/>
            <w:vAlign w:val="center"/>
          </w:tcPr>
          <w:p w14:paraId="59F90831">
            <w:pPr>
              <w:widowControl/>
              <w:spacing w:line="0" w:lineRule="atLeast"/>
              <w:jc w:val="center"/>
              <w:rPr>
                <w:rFonts w:ascii="仿宋" w:hAnsi="仿宋" w:eastAsia="仿宋" w:cs="仿宋"/>
                <w:b/>
                <w:spacing w:val="-10"/>
                <w:kern w:val="0"/>
                <w:sz w:val="24"/>
              </w:rPr>
            </w:pPr>
            <w:r>
              <w:rPr>
                <w:rFonts w:hint="eastAsia" w:ascii="仿宋" w:hAnsi="仿宋" w:eastAsia="仿宋" w:cs="仿宋"/>
                <w:bCs/>
                <w:spacing w:val="-10"/>
                <w:kern w:val="0"/>
                <w:sz w:val="24"/>
              </w:rPr>
              <w:t>《中华人民共和国水污染防治法》（中华人民共和国主席令第八十七号）</w:t>
            </w:r>
          </w:p>
        </w:tc>
      </w:tr>
      <w:tr w14:paraId="2C841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60367E2B">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2D8C37C4">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7D69A559">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资源利用效率</w:t>
            </w:r>
          </w:p>
        </w:tc>
        <w:tc>
          <w:tcPr>
            <w:tcW w:w="4581" w:type="dxa"/>
            <w:shd w:val="clear" w:color="auto" w:fill="FFFFFF"/>
            <w:noWrap w:val="0"/>
            <w:vAlign w:val="center"/>
          </w:tcPr>
          <w:p w14:paraId="32272F4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恢复与保障重要河湖水量。统筹本流域水资源条件和外流域调水。统筹调度多水源向河道实施生态补水。</w:t>
            </w:r>
          </w:p>
        </w:tc>
        <w:tc>
          <w:tcPr>
            <w:tcW w:w="1643" w:type="dxa"/>
            <w:shd w:val="clear" w:color="auto" w:fill="FFFFFF"/>
            <w:noWrap w:val="0"/>
            <w:vAlign w:val="center"/>
          </w:tcPr>
          <w:p w14:paraId="1E78CBDA">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《河北省2021年水生态环境保护工作方案》(冀水领组〔2021〕2号)</w:t>
            </w:r>
          </w:p>
        </w:tc>
      </w:tr>
      <w:tr w14:paraId="0E96E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restart"/>
            <w:shd w:val="clear" w:color="auto" w:fill="FFFFFF"/>
            <w:noWrap w:val="0"/>
            <w:vAlign w:val="center"/>
          </w:tcPr>
          <w:p w14:paraId="2BA453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中部城镇核心集聚区</w:t>
            </w:r>
          </w:p>
        </w:tc>
        <w:tc>
          <w:tcPr>
            <w:tcW w:w="1243" w:type="dxa"/>
            <w:vMerge w:val="restart"/>
            <w:shd w:val="clear" w:color="auto" w:fill="FFFFFF"/>
            <w:noWrap w:val="0"/>
            <w:vAlign w:val="center"/>
          </w:tcPr>
          <w:p w14:paraId="31E3E386">
            <w:pPr>
              <w:widowControl/>
              <w:spacing w:line="0" w:lineRule="atLeast"/>
              <w:rPr>
                <w:rFonts w:ascii="仿宋" w:hAnsi="仿宋" w:eastAsia="仿宋" w:cs="仿宋"/>
                <w:bCs/>
                <w:spacing w:val="-10"/>
                <w:kern w:val="0"/>
                <w:sz w:val="24"/>
              </w:rPr>
            </w:pPr>
            <w:r>
              <w:rPr>
                <w:rFonts w:hint="eastAsia" w:ascii="仿宋" w:hAnsi="仿宋" w:eastAsia="仿宋" w:cs="仿宋"/>
                <w:bCs/>
                <w:spacing w:val="-10"/>
                <w:kern w:val="0"/>
                <w:sz w:val="24"/>
              </w:rPr>
              <w:t>1.人类活动频繁、生活污染源排放量较大。2.工业资源消耗量和污染物排放量大。3.大气及局部下游河段污染严重。</w:t>
            </w:r>
          </w:p>
        </w:tc>
        <w:tc>
          <w:tcPr>
            <w:tcW w:w="782" w:type="dxa"/>
            <w:shd w:val="clear" w:color="auto" w:fill="FFFFFF"/>
            <w:noWrap w:val="0"/>
            <w:vAlign w:val="center"/>
          </w:tcPr>
          <w:p w14:paraId="43D31B07">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空间布局</w:t>
            </w:r>
          </w:p>
        </w:tc>
        <w:tc>
          <w:tcPr>
            <w:tcW w:w="4581" w:type="dxa"/>
            <w:shd w:val="clear" w:color="auto" w:fill="FFFFFF"/>
            <w:noWrap w:val="0"/>
            <w:vAlign w:val="center"/>
          </w:tcPr>
          <w:p w14:paraId="39CA133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加快推进重点区域企业搬迁或退出。绕城高速公路和各县(市、区)建成区内其他中小涉气企业结合实际情况组织实施关停取缔、转型升级或搬迁入园。对手续不全、批建不符的企业坚决予以关停取缔；保留企业要全部达到B级以上要求或引领性要求。</w:t>
            </w:r>
          </w:p>
          <w:p w14:paraId="15C4DE2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2.全面实现全市建筑工地“六个百分之百”和视频监控、PM</w:t>
            </w:r>
            <w:r>
              <w:rPr>
                <w:rFonts w:hint="eastAsia" w:ascii="仿宋" w:hAnsi="仿宋" w:eastAsia="仿宋" w:cs="仿宋"/>
                <w:bCs/>
                <w:spacing w:val="-10"/>
                <w:kern w:val="0"/>
                <w:sz w:val="24"/>
                <w:vertAlign w:val="subscript"/>
              </w:rPr>
              <w:t>10</w:t>
            </w:r>
            <w:r>
              <w:rPr>
                <w:rFonts w:hint="eastAsia" w:ascii="仿宋" w:hAnsi="仿宋" w:eastAsia="仿宋" w:cs="仿宋"/>
                <w:bCs/>
                <w:spacing w:val="-10"/>
                <w:kern w:val="0"/>
                <w:sz w:val="24"/>
              </w:rPr>
              <w:t>在线监测联网全覆盖。</w:t>
            </w:r>
          </w:p>
          <w:p w14:paraId="64F8E12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spacing w:val="-10"/>
                <w:sz w:val="24"/>
              </w:rPr>
              <w:t>3.严控露天烧烤及秸秆焚烧污染。保持对占道露天烧烤高压整治氛围；建立秸秆禁烧长效机制，严厉打击焚烧秸秆、垃圾、树叶、杂草等露天焚烧行为，有效控制露天焚烧现象。</w:t>
            </w:r>
          </w:p>
        </w:tc>
        <w:tc>
          <w:tcPr>
            <w:tcW w:w="1643" w:type="dxa"/>
            <w:vMerge w:val="restart"/>
            <w:shd w:val="clear" w:color="auto" w:fill="FFFFFF"/>
            <w:noWrap w:val="0"/>
            <w:vAlign w:val="center"/>
          </w:tcPr>
          <w:p w14:paraId="4253673B">
            <w:pPr>
              <w:widowControl/>
              <w:spacing w:line="0" w:lineRule="atLeast"/>
              <w:jc w:val="center"/>
              <w:rPr>
                <w:rFonts w:ascii="仿宋" w:hAnsi="仿宋" w:eastAsia="仿宋" w:cs="仿宋"/>
                <w:b/>
                <w:spacing w:val="-10"/>
                <w:kern w:val="0"/>
                <w:sz w:val="24"/>
              </w:rPr>
            </w:pPr>
            <w:r>
              <w:rPr>
                <w:rFonts w:hint="eastAsia" w:ascii="仿宋" w:hAnsi="仿宋" w:eastAsia="仿宋" w:cs="仿宋"/>
                <w:spacing w:val="-10"/>
                <w:kern w:val="0"/>
                <w:sz w:val="24"/>
              </w:rPr>
              <w:t>《邯郸市空气质量综合指数“退后十”攻坚行动方案》（邯文〔2021〕12号）、《河北省2021年水生态环境保护工作方案》(冀水领组〔2021〕2号)、《河北省2021年土壤污染防治工作方案》(冀土领组〔2021〕1号)</w:t>
            </w:r>
          </w:p>
        </w:tc>
      </w:tr>
      <w:tr w14:paraId="38191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109346F0">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491E8F88">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04D89304">
            <w:pPr>
              <w:widowControl/>
              <w:spacing w:line="0" w:lineRule="atLeast"/>
              <w:jc w:val="center"/>
              <w:rPr>
                <w:rFonts w:ascii="仿宋" w:hAnsi="仿宋" w:eastAsia="仿宋" w:cs="仿宋"/>
                <w:spacing w:val="-10"/>
                <w:kern w:val="0"/>
                <w:sz w:val="24"/>
              </w:rPr>
            </w:pPr>
            <w:r>
              <w:rPr>
                <w:rFonts w:hint="eastAsia" w:ascii="仿宋" w:hAnsi="仿宋" w:eastAsia="仿宋" w:cs="仿宋"/>
                <w:spacing w:val="-23"/>
                <w:kern w:val="0"/>
                <w:sz w:val="24"/>
              </w:rPr>
              <w:t>污染物排放管控</w:t>
            </w:r>
          </w:p>
        </w:tc>
        <w:tc>
          <w:tcPr>
            <w:tcW w:w="4581" w:type="dxa"/>
            <w:shd w:val="clear" w:color="auto" w:fill="FFFFFF"/>
            <w:noWrap w:val="0"/>
            <w:vAlign w:val="center"/>
          </w:tcPr>
          <w:p w14:paraId="6E6ADADE">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1.市主城区和县城建成区所有餐饮企业和经营商户实现油烟治理全覆盖，餐饮油烟去除效率不小于90%，餐饮油烟排放限值由2.0mg/m</w:t>
            </w:r>
            <w:r>
              <w:rPr>
                <w:rFonts w:hint="eastAsia" w:ascii="仿宋" w:hAnsi="仿宋" w:eastAsia="仿宋" w:cs="仿宋"/>
                <w:bCs/>
                <w:spacing w:val="-10"/>
                <w:kern w:val="0"/>
                <w:sz w:val="24"/>
                <w:vertAlign w:val="superscript"/>
              </w:rPr>
              <w:t>3</w:t>
            </w:r>
            <w:r>
              <w:rPr>
                <w:rFonts w:hint="eastAsia" w:ascii="仿宋" w:hAnsi="仿宋" w:eastAsia="仿宋" w:cs="仿宋"/>
                <w:bCs/>
                <w:spacing w:val="-10"/>
                <w:kern w:val="0"/>
                <w:sz w:val="24"/>
              </w:rPr>
              <w:t>加严至1.0mg/m</w:t>
            </w:r>
            <w:r>
              <w:rPr>
                <w:rFonts w:hint="eastAsia" w:ascii="仿宋" w:hAnsi="仿宋" w:eastAsia="仿宋" w:cs="仿宋"/>
                <w:bCs/>
                <w:spacing w:val="-10"/>
                <w:kern w:val="0"/>
                <w:sz w:val="24"/>
                <w:vertAlign w:val="superscript"/>
              </w:rPr>
              <w:t>3</w:t>
            </w:r>
            <w:r>
              <w:rPr>
                <w:rFonts w:hint="eastAsia" w:ascii="仿宋" w:hAnsi="仿宋" w:eastAsia="仿宋" w:cs="仿宋"/>
                <w:bCs/>
                <w:spacing w:val="-10"/>
                <w:kern w:val="0"/>
                <w:sz w:val="24"/>
              </w:rPr>
              <w:t>。</w:t>
            </w:r>
          </w:p>
          <w:p w14:paraId="3ADFD88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2.积极推进中心城区物流项目“出城入园”，推广使用新能源配送车辆、绿色物流设施设备和绿色包装，推进物流设施设备的循环共用。</w:t>
            </w:r>
          </w:p>
          <w:p w14:paraId="160D955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3.加强对城市公共区域、临时闲置建设用地、城区道路两侧和城区河道两侧的裸露土地硬化和绿化，实现市主城区地面“非硬即绿”。开展城市道路扬尘专项治理。</w:t>
            </w:r>
          </w:p>
          <w:p w14:paraId="1A7638D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4.在城市新区、各类园区、成片开发区和新建道路、广场、公园等建设，以及老旧小区更新、城中村改造过程中，因地制宜建设雨水调蓄池，截蓄初期雨水，促进雨水源头减排。加强雨前、雨中、雨后城镇污水处理设施处理水量调配，充分发挥城镇污水处理设施削减雨水径流污染效能，减少初期雨水溢流。</w:t>
            </w:r>
          </w:p>
        </w:tc>
        <w:tc>
          <w:tcPr>
            <w:tcW w:w="1643" w:type="dxa"/>
            <w:vMerge w:val="continue"/>
            <w:shd w:val="clear" w:color="auto" w:fill="FFFFFF"/>
            <w:noWrap w:val="0"/>
            <w:vAlign w:val="center"/>
          </w:tcPr>
          <w:p w14:paraId="4A999AEE">
            <w:pPr>
              <w:widowControl/>
              <w:spacing w:line="0" w:lineRule="atLeast"/>
              <w:jc w:val="center"/>
              <w:rPr>
                <w:rFonts w:ascii="仿宋" w:hAnsi="仿宋" w:eastAsia="仿宋" w:cs="仿宋"/>
                <w:b/>
                <w:spacing w:val="-10"/>
                <w:kern w:val="0"/>
                <w:sz w:val="24"/>
              </w:rPr>
            </w:pPr>
          </w:p>
        </w:tc>
      </w:tr>
      <w:tr w14:paraId="28E8E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70759E48">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06C0E3F1">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1F820768">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环境风险防控</w:t>
            </w:r>
          </w:p>
        </w:tc>
        <w:tc>
          <w:tcPr>
            <w:tcW w:w="4581" w:type="dxa"/>
            <w:shd w:val="clear" w:color="auto" w:fill="FFFFFF"/>
            <w:noWrap w:val="0"/>
            <w:vAlign w:val="center"/>
          </w:tcPr>
          <w:p w14:paraId="51E6B52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列入建设用地土壤污染风险管控和修复名录的地块，不得作为住宅、公共管理与公共服务用地；未达到土壤污染风险管控、修复目标的地块，禁止开工建设任何与风险管控、修复无关的项目，不得批准环境影响评价技术文件、建设工程规划许可证等事项。</w:t>
            </w:r>
          </w:p>
        </w:tc>
        <w:tc>
          <w:tcPr>
            <w:tcW w:w="1643" w:type="dxa"/>
            <w:vMerge w:val="continue"/>
            <w:shd w:val="clear" w:color="auto" w:fill="FFFFFF"/>
            <w:noWrap w:val="0"/>
            <w:vAlign w:val="center"/>
          </w:tcPr>
          <w:p w14:paraId="0781D5A7">
            <w:pPr>
              <w:widowControl/>
              <w:spacing w:line="0" w:lineRule="atLeast"/>
              <w:jc w:val="center"/>
              <w:rPr>
                <w:rFonts w:ascii="仿宋" w:hAnsi="仿宋" w:eastAsia="仿宋" w:cs="仿宋"/>
                <w:b/>
                <w:spacing w:val="-10"/>
                <w:kern w:val="0"/>
                <w:sz w:val="24"/>
              </w:rPr>
            </w:pPr>
          </w:p>
        </w:tc>
      </w:tr>
      <w:tr w14:paraId="5A580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73F7363A">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161F1407">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752CC567">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资源利用效率</w:t>
            </w:r>
          </w:p>
        </w:tc>
        <w:tc>
          <w:tcPr>
            <w:tcW w:w="4581" w:type="dxa"/>
            <w:shd w:val="clear" w:color="auto" w:fill="FFFFFF"/>
            <w:noWrap w:val="0"/>
            <w:vAlign w:val="center"/>
          </w:tcPr>
          <w:p w14:paraId="6045A93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到2022年，煤电机组供电煤耗降至300克/千瓦时，工序能耗持续优于全国平均水平。提升清洁能源比重，积极发展可再生能源。有效利用工业余热等替代燃煤热源供应。多渠道拓展天然气气源，加快天然气产供储销体系建设，全力满足冬季采暖需求。</w:t>
            </w:r>
          </w:p>
        </w:tc>
        <w:tc>
          <w:tcPr>
            <w:tcW w:w="1643" w:type="dxa"/>
            <w:vMerge w:val="continue"/>
            <w:shd w:val="clear" w:color="auto" w:fill="FFFFFF"/>
            <w:noWrap w:val="0"/>
            <w:vAlign w:val="center"/>
          </w:tcPr>
          <w:p w14:paraId="77506B07">
            <w:pPr>
              <w:widowControl/>
              <w:spacing w:line="0" w:lineRule="atLeast"/>
              <w:jc w:val="center"/>
              <w:rPr>
                <w:rFonts w:ascii="仿宋" w:hAnsi="仿宋" w:eastAsia="仿宋" w:cs="仿宋"/>
                <w:b/>
                <w:spacing w:val="-10"/>
                <w:kern w:val="0"/>
                <w:sz w:val="24"/>
              </w:rPr>
            </w:pPr>
          </w:p>
        </w:tc>
      </w:tr>
      <w:tr w14:paraId="2FF06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restart"/>
            <w:shd w:val="clear" w:color="auto" w:fill="FFFFFF"/>
            <w:noWrap w:val="0"/>
            <w:vAlign w:val="center"/>
          </w:tcPr>
          <w:p w14:paraId="4E734B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东部农副产业发展区</w:t>
            </w:r>
          </w:p>
        </w:tc>
        <w:tc>
          <w:tcPr>
            <w:tcW w:w="1243" w:type="dxa"/>
            <w:vMerge w:val="restart"/>
            <w:shd w:val="clear" w:color="auto" w:fill="FFFFFF"/>
            <w:noWrap w:val="0"/>
            <w:vAlign w:val="center"/>
          </w:tcPr>
          <w:p w14:paraId="58EF478D">
            <w:pPr>
              <w:widowControl/>
              <w:spacing w:line="0" w:lineRule="atLeast"/>
              <w:rPr>
                <w:rFonts w:ascii="仿宋" w:hAnsi="仿宋" w:eastAsia="仿宋" w:cs="仿宋"/>
                <w:bCs/>
                <w:spacing w:val="-10"/>
                <w:kern w:val="0"/>
                <w:sz w:val="24"/>
              </w:rPr>
            </w:pPr>
            <w:r>
              <w:rPr>
                <w:rFonts w:hint="eastAsia" w:ascii="仿宋" w:hAnsi="仿宋" w:eastAsia="仿宋" w:cs="仿宋"/>
                <w:bCs/>
                <w:spacing w:val="-10"/>
                <w:kern w:val="0"/>
                <w:sz w:val="24"/>
              </w:rPr>
              <w:t>1.地下水开采使用量较大，存在地下水浅层和深层超采区。2.农业化肥施用量较大，氨排放削减仍需进一步加强。3.畜禽粪污治理仍需进一步完善。</w:t>
            </w:r>
          </w:p>
        </w:tc>
        <w:tc>
          <w:tcPr>
            <w:tcW w:w="782" w:type="dxa"/>
            <w:shd w:val="clear" w:color="auto" w:fill="FFFFFF"/>
            <w:noWrap w:val="0"/>
            <w:vAlign w:val="center"/>
          </w:tcPr>
          <w:p w14:paraId="3C80975B">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空间布局</w:t>
            </w:r>
          </w:p>
        </w:tc>
        <w:tc>
          <w:tcPr>
            <w:tcW w:w="4581" w:type="dxa"/>
            <w:shd w:val="clear" w:color="auto" w:fill="FFFFFF"/>
            <w:noWrap w:val="0"/>
            <w:vAlign w:val="center"/>
          </w:tcPr>
          <w:p w14:paraId="60BBBA0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地下水超采区内，除符合补办条件的外，原则上不再审批开凿新的取水井；对当地社会发展和群众生活有重大影响的重点建设项目，确需新增取用地下水的，限采区按照“用一减二”的比例、一般超采区按照“用一减一”的比例，实行“先减后加”同步削减其他取水单位和个人的地下水许可开采量。</w:t>
            </w:r>
          </w:p>
          <w:p w14:paraId="1E31320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2.禁止在二十五度以上陡坡地开垦种植农作物。在二十五度以上陡坡地种植经济林的，应当科学选择树种，合理确定规模，采取水土保持措施，防止造成水土流失。</w:t>
            </w:r>
          </w:p>
          <w:p w14:paraId="752E60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3.在禁止开垦坡度以下、五度以上的荒坡地开垦种植农作物，应当采取水土保持措施。具体办法由省、自治区、直辖市根据本行政区域的实际情况规定。</w:t>
            </w:r>
          </w:p>
        </w:tc>
        <w:tc>
          <w:tcPr>
            <w:tcW w:w="1643" w:type="dxa"/>
            <w:shd w:val="clear" w:color="auto" w:fill="FFFFFF"/>
            <w:noWrap w:val="0"/>
            <w:vAlign w:val="center"/>
          </w:tcPr>
          <w:p w14:paraId="3B8618D8">
            <w:pPr>
              <w:widowControl/>
              <w:spacing w:line="0" w:lineRule="atLeast"/>
              <w:jc w:val="center"/>
              <w:rPr>
                <w:rFonts w:ascii="仿宋" w:hAnsi="仿宋" w:eastAsia="仿宋" w:cs="仿宋"/>
                <w:bCs/>
                <w:spacing w:val="-10"/>
                <w:sz w:val="24"/>
              </w:rPr>
            </w:pPr>
            <w:r>
              <w:rPr>
                <w:rFonts w:hint="eastAsia" w:ascii="仿宋" w:hAnsi="仿宋" w:eastAsia="仿宋" w:cs="仿宋"/>
                <w:bCs/>
                <w:spacing w:val="-10"/>
                <w:sz w:val="24"/>
              </w:rPr>
              <w:t>《中华人民共和国水土保持法》（中华人民共和国主席令</w:t>
            </w:r>
          </w:p>
          <w:p w14:paraId="53F2070D">
            <w:pPr>
              <w:widowControl/>
              <w:spacing w:line="0" w:lineRule="atLeast"/>
              <w:jc w:val="center"/>
              <w:rPr>
                <w:rFonts w:ascii="仿宋" w:hAnsi="仿宋" w:eastAsia="仿宋" w:cs="仿宋"/>
                <w:bCs/>
                <w:spacing w:val="-20"/>
                <w:w w:val="95"/>
                <w:kern w:val="0"/>
                <w:sz w:val="24"/>
              </w:rPr>
            </w:pPr>
            <w:r>
              <w:rPr>
                <w:rFonts w:hint="eastAsia" w:ascii="仿宋" w:hAnsi="仿宋" w:eastAsia="仿宋" w:cs="仿宋"/>
                <w:bCs/>
                <w:spacing w:val="-10"/>
                <w:sz w:val="24"/>
              </w:rPr>
              <w:t>第三十九号）、</w:t>
            </w:r>
            <w:r>
              <w:rPr>
                <w:rFonts w:hint="eastAsia" w:ascii="仿宋" w:hAnsi="仿宋" w:eastAsia="仿宋" w:cs="仿宋"/>
                <w:bCs/>
                <w:spacing w:val="-10"/>
                <w:kern w:val="0"/>
                <w:sz w:val="24"/>
              </w:rPr>
              <w:t>《河北省水利厅关于严格地下水取用管理有关事项的通知》(冀水资〔2020〕80号)</w:t>
            </w:r>
          </w:p>
        </w:tc>
      </w:tr>
      <w:tr w14:paraId="77315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3BB6E973">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7C1F4206">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741E1D41">
            <w:pPr>
              <w:widowControl/>
              <w:spacing w:line="0" w:lineRule="atLeast"/>
              <w:jc w:val="center"/>
              <w:rPr>
                <w:rFonts w:ascii="仿宋" w:hAnsi="仿宋" w:eastAsia="仿宋" w:cs="仿宋"/>
                <w:spacing w:val="-10"/>
                <w:kern w:val="0"/>
                <w:sz w:val="24"/>
              </w:rPr>
            </w:pPr>
            <w:r>
              <w:rPr>
                <w:rFonts w:hint="eastAsia" w:ascii="仿宋" w:hAnsi="仿宋" w:eastAsia="仿宋" w:cs="仿宋"/>
                <w:spacing w:val="-23"/>
                <w:kern w:val="0"/>
                <w:sz w:val="24"/>
              </w:rPr>
              <w:t>污染物排放管控</w:t>
            </w:r>
          </w:p>
        </w:tc>
        <w:tc>
          <w:tcPr>
            <w:tcW w:w="4581" w:type="dxa"/>
            <w:shd w:val="clear" w:color="auto" w:fill="FFFFFF"/>
            <w:noWrap w:val="0"/>
            <w:vAlign w:val="center"/>
          </w:tcPr>
          <w:p w14:paraId="3809595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1.河流两岸现有的林地、草地、滩地应维持原状，不得开发占用；缓冲带内的现有农田不得施加化肥和农药；缓冲带内的现有违法违章建筑应依法依规由政府组织清除。</w:t>
            </w:r>
          </w:p>
          <w:p w14:paraId="2155423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2.2021年，在全市推广氨排放控制措施，完成210万亩农田推广应用，有效降低氨对PM</w:t>
            </w:r>
            <w:r>
              <w:rPr>
                <w:rFonts w:hint="eastAsia" w:ascii="仿宋" w:hAnsi="仿宋" w:eastAsia="仿宋" w:cs="仿宋"/>
                <w:bCs/>
                <w:spacing w:val="-10"/>
                <w:kern w:val="0"/>
                <w:sz w:val="24"/>
                <w:vertAlign w:val="subscript"/>
              </w:rPr>
              <w:t>2.5</w:t>
            </w:r>
            <w:r>
              <w:rPr>
                <w:rFonts w:hint="eastAsia" w:ascii="仿宋" w:hAnsi="仿宋" w:eastAsia="仿宋" w:cs="仿宋"/>
                <w:bCs/>
                <w:spacing w:val="-10"/>
                <w:kern w:val="0"/>
                <w:sz w:val="24"/>
              </w:rPr>
              <w:t>的影响。</w:t>
            </w:r>
          </w:p>
        </w:tc>
        <w:tc>
          <w:tcPr>
            <w:tcW w:w="1643" w:type="dxa"/>
            <w:vMerge w:val="restart"/>
            <w:shd w:val="clear" w:color="auto" w:fill="FFFFFF"/>
            <w:noWrap w:val="0"/>
            <w:vAlign w:val="center"/>
          </w:tcPr>
          <w:p w14:paraId="647C95D9">
            <w:pPr>
              <w:widowControl/>
              <w:spacing w:line="0" w:lineRule="atLeast"/>
              <w:jc w:val="center"/>
              <w:rPr>
                <w:rFonts w:ascii="仿宋" w:hAnsi="仿宋" w:eastAsia="仿宋" w:cs="仿宋"/>
                <w:b/>
                <w:spacing w:val="-10"/>
                <w:kern w:val="0"/>
                <w:sz w:val="24"/>
              </w:rPr>
            </w:pPr>
            <w:r>
              <w:rPr>
                <w:rFonts w:hint="eastAsia" w:ascii="仿宋" w:hAnsi="仿宋" w:eastAsia="仿宋" w:cs="仿宋"/>
                <w:spacing w:val="-10"/>
                <w:kern w:val="0"/>
                <w:sz w:val="24"/>
              </w:rPr>
              <w:t>《河北省2021年水生态环境保护工作方案》(冀水领组〔2021〕2号)、《邯郸市空气质量综合指数“退后十”攻坚行动方案》（邯文〔2021〕12号）、《邯郸市2021年土壤、地下水污染防治和农村污染治理工作方案》(邯土领办〔2021〕3号)</w:t>
            </w:r>
          </w:p>
        </w:tc>
      </w:tr>
      <w:tr w14:paraId="5D8A9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7B555769">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57484E00">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7E8A17AE">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环境风险防控</w:t>
            </w:r>
          </w:p>
        </w:tc>
        <w:tc>
          <w:tcPr>
            <w:tcW w:w="4581" w:type="dxa"/>
            <w:shd w:val="clear" w:color="auto" w:fill="FFFFFF"/>
            <w:noWrap w:val="0"/>
            <w:vAlign w:val="center"/>
          </w:tcPr>
          <w:p w14:paraId="1226B99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根据土地用途变更、农用地土壤污染状况深度调查成果以及受污染耕地安全利用和严格管控效果，结合实际，进一步精准识别受污染耕地面积、分布等。对曾用于生产、使用、贮存、回收、处置有毒有害物质的工矿用地复垦为耕地的，应确保农用地管控标准之外的特征污染物不超过所在地土壤环境背景值，并依法进行分类管理。</w:t>
            </w:r>
          </w:p>
          <w:p w14:paraId="180C4A0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2.根据农时持续推进风险管控措施落实，在安全利用类耕地继续组织落实农艺调整措施；巩固严格管控类耕地治理成果，引导落实种植结构调整、休耕、退耕还林还草等措施；对确需实施治理修复措施的，优先采取不影响农业生产、不降低土壤生产功能的修复措施。</w:t>
            </w:r>
          </w:p>
        </w:tc>
        <w:tc>
          <w:tcPr>
            <w:tcW w:w="1643" w:type="dxa"/>
            <w:vMerge w:val="continue"/>
            <w:shd w:val="clear" w:color="auto" w:fill="FFFFFF"/>
            <w:noWrap w:val="0"/>
            <w:vAlign w:val="center"/>
          </w:tcPr>
          <w:p w14:paraId="31040074">
            <w:pPr>
              <w:widowControl/>
              <w:spacing w:line="0" w:lineRule="atLeast"/>
              <w:jc w:val="center"/>
              <w:rPr>
                <w:rFonts w:ascii="仿宋" w:hAnsi="仿宋" w:eastAsia="仿宋" w:cs="仿宋"/>
                <w:b/>
                <w:spacing w:val="-10"/>
                <w:kern w:val="0"/>
                <w:sz w:val="24"/>
              </w:rPr>
            </w:pPr>
          </w:p>
        </w:tc>
      </w:tr>
      <w:tr w14:paraId="6CE8E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52" w:type="dxa"/>
            <w:vMerge w:val="continue"/>
            <w:shd w:val="clear" w:color="auto" w:fill="FFFFFF"/>
            <w:noWrap w:val="0"/>
            <w:vAlign w:val="center"/>
          </w:tcPr>
          <w:p w14:paraId="72924142">
            <w:pPr>
              <w:widowControl/>
              <w:spacing w:line="0" w:lineRule="atLeast"/>
              <w:jc w:val="center"/>
              <w:rPr>
                <w:rFonts w:ascii="仿宋" w:hAnsi="仿宋" w:eastAsia="仿宋" w:cs="仿宋"/>
                <w:b/>
                <w:spacing w:val="-10"/>
                <w:kern w:val="0"/>
                <w:sz w:val="24"/>
              </w:rPr>
            </w:pPr>
          </w:p>
        </w:tc>
        <w:tc>
          <w:tcPr>
            <w:tcW w:w="1243" w:type="dxa"/>
            <w:vMerge w:val="continue"/>
            <w:shd w:val="clear" w:color="auto" w:fill="FFFFFF"/>
            <w:noWrap w:val="0"/>
            <w:vAlign w:val="center"/>
          </w:tcPr>
          <w:p w14:paraId="3166C61B">
            <w:pPr>
              <w:widowControl/>
              <w:spacing w:line="0" w:lineRule="atLeast"/>
              <w:rPr>
                <w:rFonts w:ascii="仿宋" w:hAnsi="仿宋" w:eastAsia="仿宋" w:cs="仿宋"/>
                <w:bCs/>
                <w:spacing w:val="-10"/>
                <w:kern w:val="0"/>
                <w:sz w:val="24"/>
              </w:rPr>
            </w:pPr>
          </w:p>
        </w:tc>
        <w:tc>
          <w:tcPr>
            <w:tcW w:w="782" w:type="dxa"/>
            <w:shd w:val="clear" w:color="auto" w:fill="FFFFFF"/>
            <w:noWrap w:val="0"/>
            <w:vAlign w:val="center"/>
          </w:tcPr>
          <w:p w14:paraId="7F436763">
            <w:pPr>
              <w:widowControl/>
              <w:spacing w:line="0" w:lineRule="atLeast"/>
              <w:jc w:val="center"/>
              <w:rPr>
                <w:rFonts w:ascii="仿宋" w:hAnsi="仿宋" w:eastAsia="仿宋" w:cs="仿宋"/>
                <w:spacing w:val="-10"/>
                <w:kern w:val="0"/>
                <w:sz w:val="24"/>
              </w:rPr>
            </w:pPr>
            <w:r>
              <w:rPr>
                <w:rFonts w:hint="eastAsia" w:ascii="仿宋" w:hAnsi="仿宋" w:eastAsia="仿宋" w:cs="仿宋"/>
                <w:spacing w:val="-10"/>
                <w:kern w:val="0"/>
                <w:sz w:val="24"/>
              </w:rPr>
              <w:t>资源利用效率</w:t>
            </w:r>
          </w:p>
        </w:tc>
        <w:tc>
          <w:tcPr>
            <w:tcW w:w="4581" w:type="dxa"/>
            <w:shd w:val="clear" w:color="auto" w:fill="FFFFFF"/>
            <w:noWrap w:val="0"/>
            <w:vAlign w:val="center"/>
          </w:tcPr>
          <w:p w14:paraId="02366EC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推进畜禽粪污集中处理与资源化利用，强化病死畜禽无害化处理体系建设。持续推进畜禽粪污资源化利用，以种养结合、协同减排为引导，强化粪污收运还田体系建设，结合实际选择粪污肥料化、燃料化、基质化等资源化利用模式，实现粪污就近利用。</w:t>
            </w:r>
          </w:p>
        </w:tc>
        <w:tc>
          <w:tcPr>
            <w:tcW w:w="1643" w:type="dxa"/>
            <w:vMerge w:val="continue"/>
            <w:shd w:val="clear" w:color="auto" w:fill="FFFFFF"/>
            <w:noWrap w:val="0"/>
            <w:vAlign w:val="center"/>
          </w:tcPr>
          <w:p w14:paraId="1C387CC1">
            <w:pPr>
              <w:widowControl/>
              <w:spacing w:line="0" w:lineRule="atLeast"/>
              <w:jc w:val="center"/>
              <w:rPr>
                <w:rFonts w:ascii="仿宋" w:hAnsi="仿宋" w:eastAsia="仿宋" w:cs="仿宋"/>
                <w:b/>
                <w:spacing w:val="-10"/>
                <w:kern w:val="0"/>
                <w:sz w:val="24"/>
              </w:rPr>
            </w:pPr>
          </w:p>
        </w:tc>
      </w:tr>
    </w:tbl>
    <w:p w14:paraId="49C352A1">
      <w:pPr>
        <w:widowControl/>
        <w:spacing w:line="360" w:lineRule="exact"/>
        <w:outlineLvl w:val="0"/>
        <w:rPr>
          <w:rFonts w:ascii="仿宋" w:hAnsi="仿宋" w:eastAsia="仿宋" w:cs="仿宋"/>
        </w:rPr>
      </w:pPr>
      <w:r>
        <w:rPr>
          <w:rFonts w:hint="eastAsia" w:ascii="仿宋" w:hAnsi="仿宋" w:eastAsia="仿宋" w:cs="仿宋"/>
          <w:bCs/>
          <w:sz w:val="32"/>
          <w:szCs w:val="20"/>
        </w:rPr>
        <w:t xml:space="preserve">    三、各县（市、区）生态环境分区管控准入清单</w:t>
      </w:r>
    </w:p>
    <w:p w14:paraId="7B7F0474">
      <w:pPr>
        <w:pStyle w:val="10"/>
        <w:numPr>
          <w:ilvl w:val="1"/>
          <w:numId w:val="0"/>
        </w:numPr>
        <w:spacing w:beforeLines="50"/>
        <w:ind w:firstLine="640" w:firstLineChars="200"/>
        <w:outlineLvl w:val="1"/>
        <w:rPr>
          <w:rFonts w:ascii="仿宋" w:hAnsi="仿宋" w:eastAsia="仿宋" w:cs="仿宋"/>
          <w:bCs/>
          <w:sz w:val="32"/>
          <w:szCs w:val="32"/>
        </w:rPr>
      </w:pPr>
      <w:bookmarkStart w:id="6" w:name="_Toc68701715"/>
      <w:r>
        <w:rPr>
          <w:rFonts w:hint="eastAsia" w:ascii="仿宋" w:hAnsi="仿宋" w:eastAsia="仿宋" w:cs="仿宋"/>
          <w:bCs/>
          <w:sz w:val="32"/>
          <w:szCs w:val="32"/>
        </w:rPr>
        <w:t>（一）邯山区生态环境准入清单</w:t>
      </w:r>
      <w:bookmarkEnd w:id="6"/>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993"/>
        <w:gridCol w:w="708"/>
        <w:gridCol w:w="851"/>
        <w:gridCol w:w="1134"/>
        <w:gridCol w:w="4053"/>
      </w:tblGrid>
      <w:tr w14:paraId="48F4D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28FA063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1393B10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993" w:type="dxa"/>
            <w:shd w:val="clear" w:color="auto" w:fill="D7D7D7"/>
            <w:noWrap w:val="0"/>
            <w:vAlign w:val="center"/>
          </w:tcPr>
          <w:p w14:paraId="1EBEDD1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8" w:type="dxa"/>
            <w:shd w:val="clear" w:color="auto" w:fill="D7D7D7"/>
            <w:noWrap w:val="0"/>
            <w:vAlign w:val="center"/>
          </w:tcPr>
          <w:p w14:paraId="577C012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2C02163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1134" w:type="dxa"/>
            <w:shd w:val="clear" w:color="auto" w:fill="D7D7D7"/>
            <w:noWrap w:val="0"/>
            <w:vAlign w:val="center"/>
          </w:tcPr>
          <w:p w14:paraId="7EEB212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7235C41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4EECF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95" w:type="dxa"/>
            <w:vMerge w:val="restart"/>
            <w:noWrap w:val="0"/>
            <w:vAlign w:val="center"/>
          </w:tcPr>
          <w:p w14:paraId="2A731B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ZH13040210001</w:t>
            </w:r>
          </w:p>
        </w:tc>
        <w:tc>
          <w:tcPr>
            <w:tcW w:w="567" w:type="dxa"/>
            <w:vMerge w:val="restart"/>
            <w:noWrap w:val="0"/>
            <w:vAlign w:val="center"/>
          </w:tcPr>
          <w:p w14:paraId="3851AAF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47957D3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北张庄镇</w:t>
            </w:r>
          </w:p>
        </w:tc>
        <w:tc>
          <w:tcPr>
            <w:tcW w:w="708" w:type="dxa"/>
            <w:vMerge w:val="restart"/>
            <w:noWrap w:val="0"/>
            <w:vAlign w:val="center"/>
          </w:tcPr>
          <w:p w14:paraId="260BEC8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1BAA12A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1134" w:type="dxa"/>
            <w:noWrap w:val="0"/>
            <w:vAlign w:val="center"/>
          </w:tcPr>
          <w:p w14:paraId="4FBB81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464B14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1.满足生态保护红线相关要求。2.满足《中华人民共和国河道管理条例》相关要求。</w:t>
            </w:r>
          </w:p>
        </w:tc>
      </w:tr>
      <w:tr w14:paraId="1B453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F7A3BD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C37C4F4">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5F2B1FF2">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253143A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DF60EA0">
            <w:pPr>
              <w:widowControl/>
              <w:spacing w:line="0" w:lineRule="atLeast"/>
              <w:jc w:val="center"/>
              <w:rPr>
                <w:rFonts w:ascii="仿宋" w:hAnsi="仿宋" w:eastAsia="仿宋" w:cs="仿宋"/>
                <w:bCs/>
                <w:spacing w:val="-10"/>
                <w:kern w:val="0"/>
                <w:sz w:val="24"/>
              </w:rPr>
            </w:pPr>
          </w:p>
        </w:tc>
        <w:tc>
          <w:tcPr>
            <w:tcW w:w="1134" w:type="dxa"/>
            <w:noWrap w:val="0"/>
            <w:vAlign w:val="center"/>
          </w:tcPr>
          <w:p w14:paraId="45DC99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BB5FB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65EBB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95" w:type="dxa"/>
            <w:vMerge w:val="continue"/>
            <w:noWrap w:val="0"/>
            <w:vAlign w:val="center"/>
          </w:tcPr>
          <w:p w14:paraId="3F7E5A6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A48FA79">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0C1C19A7">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00863B1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73C516C">
            <w:pPr>
              <w:widowControl/>
              <w:spacing w:line="0" w:lineRule="atLeast"/>
              <w:jc w:val="center"/>
              <w:rPr>
                <w:rFonts w:ascii="仿宋" w:hAnsi="仿宋" w:eastAsia="仿宋" w:cs="仿宋"/>
                <w:bCs/>
                <w:spacing w:val="-10"/>
                <w:kern w:val="0"/>
                <w:sz w:val="24"/>
              </w:rPr>
            </w:pPr>
          </w:p>
        </w:tc>
        <w:tc>
          <w:tcPr>
            <w:tcW w:w="1134" w:type="dxa"/>
            <w:noWrap w:val="0"/>
            <w:vAlign w:val="center"/>
          </w:tcPr>
          <w:p w14:paraId="407D6C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EBA30C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0489E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C5366C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BED4C2F">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7E92BABC">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055A096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7CEFC59">
            <w:pPr>
              <w:widowControl/>
              <w:spacing w:line="0" w:lineRule="atLeast"/>
              <w:jc w:val="center"/>
              <w:rPr>
                <w:rFonts w:ascii="仿宋" w:hAnsi="仿宋" w:eastAsia="仿宋" w:cs="仿宋"/>
                <w:bCs/>
                <w:spacing w:val="-10"/>
                <w:kern w:val="0"/>
                <w:sz w:val="24"/>
              </w:rPr>
            </w:pPr>
          </w:p>
        </w:tc>
        <w:tc>
          <w:tcPr>
            <w:tcW w:w="1134" w:type="dxa"/>
            <w:noWrap w:val="0"/>
            <w:vAlign w:val="center"/>
          </w:tcPr>
          <w:p w14:paraId="27913B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ADD9F2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5DE30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587424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ZH13040210002</w:t>
            </w:r>
          </w:p>
        </w:tc>
        <w:tc>
          <w:tcPr>
            <w:tcW w:w="567" w:type="dxa"/>
            <w:vMerge w:val="restart"/>
            <w:noWrap w:val="0"/>
            <w:vAlign w:val="center"/>
          </w:tcPr>
          <w:p w14:paraId="145FDC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6B4C61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北张庄镇</w:t>
            </w:r>
          </w:p>
        </w:tc>
        <w:tc>
          <w:tcPr>
            <w:tcW w:w="708" w:type="dxa"/>
            <w:vMerge w:val="restart"/>
            <w:noWrap w:val="0"/>
            <w:vAlign w:val="center"/>
          </w:tcPr>
          <w:p w14:paraId="1EBEEC7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5BE7E33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重要引调水通道、南水北调中线</w:t>
            </w:r>
          </w:p>
        </w:tc>
        <w:tc>
          <w:tcPr>
            <w:tcW w:w="1134" w:type="dxa"/>
            <w:noWrap w:val="0"/>
            <w:vAlign w:val="center"/>
          </w:tcPr>
          <w:p w14:paraId="10DF30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1DAEE5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lang w:val="en-US" w:eastAsia="zh-CN"/>
              </w:rPr>
              <w:t>--</w:t>
            </w:r>
          </w:p>
        </w:tc>
      </w:tr>
      <w:tr w14:paraId="1AAA9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95" w:type="dxa"/>
            <w:vMerge w:val="continue"/>
            <w:noWrap w:val="0"/>
            <w:vAlign w:val="center"/>
          </w:tcPr>
          <w:p w14:paraId="26C8D66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EAB34DA">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20251540">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10DC648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59C692B">
            <w:pPr>
              <w:widowControl/>
              <w:spacing w:line="0" w:lineRule="atLeast"/>
              <w:jc w:val="center"/>
              <w:rPr>
                <w:rFonts w:ascii="仿宋" w:hAnsi="仿宋" w:eastAsia="仿宋" w:cs="仿宋"/>
                <w:bCs/>
                <w:spacing w:val="-10"/>
                <w:kern w:val="0"/>
                <w:sz w:val="24"/>
              </w:rPr>
            </w:pPr>
          </w:p>
        </w:tc>
        <w:tc>
          <w:tcPr>
            <w:tcW w:w="1134" w:type="dxa"/>
            <w:noWrap w:val="0"/>
            <w:vAlign w:val="center"/>
          </w:tcPr>
          <w:p w14:paraId="37A34D6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A75776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按照《南水北调中线一期工程总干渠河北段饮用水水源保护区划定和完善方案》中相应要求管控。</w:t>
            </w:r>
          </w:p>
        </w:tc>
      </w:tr>
      <w:tr w14:paraId="4FA0D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057DE4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80CB862">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44E6F2F1">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1D663CF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6BD7222">
            <w:pPr>
              <w:widowControl/>
              <w:spacing w:line="0" w:lineRule="atLeast"/>
              <w:jc w:val="center"/>
              <w:rPr>
                <w:rFonts w:ascii="仿宋" w:hAnsi="仿宋" w:eastAsia="仿宋" w:cs="仿宋"/>
                <w:bCs/>
                <w:spacing w:val="-10"/>
                <w:kern w:val="0"/>
                <w:sz w:val="24"/>
              </w:rPr>
            </w:pPr>
          </w:p>
        </w:tc>
        <w:tc>
          <w:tcPr>
            <w:tcW w:w="1134" w:type="dxa"/>
            <w:noWrap w:val="0"/>
            <w:vAlign w:val="center"/>
          </w:tcPr>
          <w:p w14:paraId="13DC042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B417D2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6395C1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DCBCE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8417A24">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77F7E831">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7161BDA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271B187">
            <w:pPr>
              <w:widowControl/>
              <w:spacing w:line="0" w:lineRule="atLeast"/>
              <w:jc w:val="center"/>
              <w:rPr>
                <w:rFonts w:ascii="仿宋" w:hAnsi="仿宋" w:eastAsia="仿宋" w:cs="仿宋"/>
                <w:bCs/>
                <w:spacing w:val="-10"/>
                <w:kern w:val="0"/>
                <w:sz w:val="24"/>
              </w:rPr>
            </w:pPr>
          </w:p>
        </w:tc>
        <w:tc>
          <w:tcPr>
            <w:tcW w:w="1134" w:type="dxa"/>
            <w:noWrap w:val="0"/>
            <w:vAlign w:val="center"/>
          </w:tcPr>
          <w:p w14:paraId="0A64A4E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A1775E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53ABC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DCF3C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ZH13040210003</w:t>
            </w:r>
          </w:p>
        </w:tc>
        <w:tc>
          <w:tcPr>
            <w:tcW w:w="567" w:type="dxa"/>
            <w:vMerge w:val="restart"/>
            <w:noWrap w:val="0"/>
            <w:vAlign w:val="center"/>
          </w:tcPr>
          <w:p w14:paraId="332964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1B4864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光明路街道、滏东街道、罗城头街道、渚河路街道、浴新南街道、北张庄镇</w:t>
            </w:r>
          </w:p>
        </w:tc>
        <w:tc>
          <w:tcPr>
            <w:tcW w:w="708" w:type="dxa"/>
            <w:vMerge w:val="restart"/>
            <w:noWrap w:val="0"/>
            <w:vAlign w:val="center"/>
          </w:tcPr>
          <w:p w14:paraId="72BB98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E83A67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1134" w:type="dxa"/>
            <w:noWrap w:val="0"/>
            <w:vAlign w:val="center"/>
          </w:tcPr>
          <w:p w14:paraId="388D90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6262C8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69DEF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97EA61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5E1771F">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5FE594C0">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1791165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7CC9AA7">
            <w:pPr>
              <w:widowControl/>
              <w:spacing w:line="0" w:lineRule="atLeast"/>
              <w:jc w:val="center"/>
              <w:rPr>
                <w:rFonts w:ascii="仿宋" w:hAnsi="仿宋" w:eastAsia="仿宋" w:cs="仿宋"/>
                <w:bCs/>
                <w:spacing w:val="-10"/>
                <w:kern w:val="0"/>
                <w:sz w:val="24"/>
              </w:rPr>
            </w:pPr>
          </w:p>
        </w:tc>
        <w:tc>
          <w:tcPr>
            <w:tcW w:w="1134" w:type="dxa"/>
            <w:noWrap w:val="0"/>
            <w:vAlign w:val="center"/>
          </w:tcPr>
          <w:p w14:paraId="6E58109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268C153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6C2C7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7D5D5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D24215">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11E501EE">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7E9A134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F72D683">
            <w:pPr>
              <w:widowControl/>
              <w:spacing w:line="0" w:lineRule="atLeast"/>
              <w:jc w:val="center"/>
              <w:rPr>
                <w:rFonts w:ascii="仿宋" w:hAnsi="仿宋" w:eastAsia="仿宋" w:cs="仿宋"/>
                <w:bCs/>
                <w:spacing w:val="-10"/>
                <w:kern w:val="0"/>
                <w:sz w:val="24"/>
              </w:rPr>
            </w:pPr>
          </w:p>
        </w:tc>
        <w:tc>
          <w:tcPr>
            <w:tcW w:w="1134" w:type="dxa"/>
            <w:noWrap w:val="0"/>
            <w:vAlign w:val="center"/>
          </w:tcPr>
          <w:p w14:paraId="08364FC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31A020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4A2AF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58AD45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F709E21">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1B83348E">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2EA9E18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A359729">
            <w:pPr>
              <w:widowControl/>
              <w:spacing w:line="0" w:lineRule="atLeast"/>
              <w:jc w:val="center"/>
              <w:rPr>
                <w:rFonts w:ascii="仿宋" w:hAnsi="仿宋" w:eastAsia="仿宋" w:cs="仿宋"/>
                <w:bCs/>
                <w:spacing w:val="-10"/>
                <w:kern w:val="0"/>
                <w:sz w:val="24"/>
              </w:rPr>
            </w:pPr>
          </w:p>
        </w:tc>
        <w:tc>
          <w:tcPr>
            <w:tcW w:w="1134" w:type="dxa"/>
            <w:noWrap w:val="0"/>
            <w:vAlign w:val="center"/>
          </w:tcPr>
          <w:p w14:paraId="6F18C50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654639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5557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C039C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ZH13040220003</w:t>
            </w:r>
          </w:p>
        </w:tc>
        <w:tc>
          <w:tcPr>
            <w:tcW w:w="567" w:type="dxa"/>
            <w:vMerge w:val="restart"/>
            <w:noWrap w:val="0"/>
            <w:vAlign w:val="center"/>
          </w:tcPr>
          <w:p w14:paraId="62DC5EF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37199C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北张庄镇、南堡乡</w:t>
            </w:r>
          </w:p>
        </w:tc>
        <w:tc>
          <w:tcPr>
            <w:tcW w:w="708" w:type="dxa"/>
            <w:vMerge w:val="restart"/>
            <w:noWrap w:val="0"/>
            <w:vAlign w:val="center"/>
          </w:tcPr>
          <w:p w14:paraId="6821DB5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A09BD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大气环境布局敏感重点管控区、水环境城镇生活污染重点管控区、高污染燃料禁燃区</w:t>
            </w:r>
          </w:p>
        </w:tc>
        <w:tc>
          <w:tcPr>
            <w:tcW w:w="1134" w:type="dxa"/>
            <w:noWrap w:val="0"/>
            <w:vAlign w:val="center"/>
          </w:tcPr>
          <w:p w14:paraId="570785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top"/>
          </w:tcPr>
          <w:p w14:paraId="39D76FD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铸造企业的布局及厂址的确定应符合国家相关法律法规、产业政策以及各地方政府装备制造业和铸造行业的总体规划要求。2.铸造企业规模、生产工艺、生产装备、质量控制和能源消耗、环境保护等指标满足《铸造企业规范条件》(T/CFA0310021-2019)中相应要求。</w:t>
            </w:r>
          </w:p>
        </w:tc>
      </w:tr>
      <w:tr w14:paraId="08082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6B80DA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549D1A3">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3F77041F">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056DA5E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30A6B27">
            <w:pPr>
              <w:widowControl/>
              <w:spacing w:line="0" w:lineRule="atLeast"/>
              <w:jc w:val="center"/>
              <w:rPr>
                <w:rFonts w:ascii="仿宋" w:hAnsi="仿宋" w:eastAsia="仿宋" w:cs="仿宋"/>
                <w:bCs/>
                <w:spacing w:val="-10"/>
                <w:kern w:val="0"/>
                <w:sz w:val="24"/>
              </w:rPr>
            </w:pPr>
          </w:p>
        </w:tc>
        <w:tc>
          <w:tcPr>
            <w:tcW w:w="1134" w:type="dxa"/>
            <w:noWrap w:val="0"/>
            <w:vAlign w:val="center"/>
          </w:tcPr>
          <w:p w14:paraId="266CDD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C64725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铸造工业污染物排放满足《铸造工业大气污染物排放标准》(GB39726-2020)及地方标准中相应排放限值要求。2.钢铁、水泥、平板玻璃、陶瓷、焦化、铸造行业企业料堆场按照《煤场、料场、渣场扬尘污染控制技术规范》(DB13/T2352-2016)存储要求，实现规范管理。3.加快完善区域污水管网建设，提高污水收集率，严禁生活污水不经处理直接外排。4.现有及新（改、扩）建向环境水体直接排放污水的排污单位满足《子牙河流域水污染物排放标准》（DB13/2796-2018)相应排放限值要求。</w:t>
            </w:r>
          </w:p>
        </w:tc>
      </w:tr>
      <w:tr w14:paraId="37FE6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6B898B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ED26877">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39A54996">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04F803C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42D4F55">
            <w:pPr>
              <w:widowControl/>
              <w:spacing w:line="0" w:lineRule="atLeast"/>
              <w:jc w:val="center"/>
              <w:rPr>
                <w:rFonts w:ascii="仿宋" w:hAnsi="仿宋" w:eastAsia="仿宋" w:cs="仿宋"/>
                <w:bCs/>
                <w:spacing w:val="-10"/>
                <w:kern w:val="0"/>
                <w:sz w:val="24"/>
              </w:rPr>
            </w:pPr>
          </w:p>
        </w:tc>
        <w:tc>
          <w:tcPr>
            <w:tcW w:w="1134" w:type="dxa"/>
            <w:noWrap w:val="0"/>
            <w:vAlign w:val="center"/>
          </w:tcPr>
          <w:p w14:paraId="729968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B215749">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落实重金属相关行业规范条件，禁止新建落后产能项目，严禁产能严重过剩行业新增产能建设项目。禁止向涉重金属相关行业落后产能和产能过剩行业供应土地。</w:t>
            </w:r>
          </w:p>
        </w:tc>
      </w:tr>
      <w:tr w14:paraId="38C39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02E71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B374B19">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390CA5E3">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6A922B3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49E80D4">
            <w:pPr>
              <w:widowControl/>
              <w:spacing w:line="0" w:lineRule="atLeast"/>
              <w:jc w:val="center"/>
              <w:rPr>
                <w:rFonts w:ascii="仿宋" w:hAnsi="仿宋" w:eastAsia="仿宋" w:cs="仿宋"/>
                <w:bCs/>
                <w:spacing w:val="-10"/>
                <w:kern w:val="0"/>
                <w:sz w:val="24"/>
              </w:rPr>
            </w:pPr>
          </w:p>
        </w:tc>
        <w:tc>
          <w:tcPr>
            <w:tcW w:w="1134" w:type="dxa"/>
            <w:noWrap w:val="0"/>
            <w:vAlign w:val="center"/>
          </w:tcPr>
          <w:p w14:paraId="3EB70C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152D6F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5923A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EFD2A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ZH13040220004</w:t>
            </w:r>
          </w:p>
        </w:tc>
        <w:tc>
          <w:tcPr>
            <w:tcW w:w="567" w:type="dxa"/>
            <w:vMerge w:val="restart"/>
            <w:noWrap w:val="0"/>
            <w:vAlign w:val="center"/>
          </w:tcPr>
          <w:p w14:paraId="77F5207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73A427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代召乡、河沙镇</w:t>
            </w:r>
          </w:p>
        </w:tc>
        <w:tc>
          <w:tcPr>
            <w:tcW w:w="708" w:type="dxa"/>
            <w:vMerge w:val="restart"/>
            <w:noWrap w:val="0"/>
            <w:vAlign w:val="center"/>
          </w:tcPr>
          <w:p w14:paraId="0F48F6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51C6EC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大气环境布局敏感重点管控区、水环境城镇生活污染重点管控区、高污染燃料禁燃区</w:t>
            </w:r>
          </w:p>
        </w:tc>
        <w:tc>
          <w:tcPr>
            <w:tcW w:w="1134" w:type="dxa"/>
            <w:noWrap w:val="0"/>
            <w:vAlign w:val="center"/>
          </w:tcPr>
          <w:p w14:paraId="316A175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top"/>
          </w:tcPr>
          <w:p w14:paraId="14FE91C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对拟建学校进行环境保护，于学校四周设立100米防护绿地。2.机械加工区调整至创业路和平安大街西南侧，不再规划包装产品制造区。3.将原蔬菜粮食食品加工区、饲料油脂加工区、肉制品加工区纳入蔬菜粮食食品加工区内发展。</w:t>
            </w:r>
          </w:p>
        </w:tc>
      </w:tr>
      <w:tr w14:paraId="3A88F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52A6BD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5CD40A8">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6AA5CE8C">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5500F5E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C1B8FE6">
            <w:pPr>
              <w:widowControl/>
              <w:spacing w:line="0" w:lineRule="atLeast"/>
              <w:jc w:val="center"/>
              <w:rPr>
                <w:rFonts w:ascii="仿宋" w:hAnsi="仿宋" w:eastAsia="仿宋" w:cs="仿宋"/>
                <w:bCs/>
                <w:spacing w:val="-10"/>
                <w:kern w:val="0"/>
                <w:sz w:val="24"/>
              </w:rPr>
            </w:pPr>
          </w:p>
        </w:tc>
        <w:tc>
          <w:tcPr>
            <w:tcW w:w="1134" w:type="dxa"/>
            <w:noWrap w:val="0"/>
            <w:vAlign w:val="center"/>
          </w:tcPr>
          <w:p w14:paraId="52839F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D0F0E9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锅炉大气污染物排放满足《锅炉大气污染物排放标准》（DB13/5161-2020）相应排放限值要求；恶臭气体排放满足《恶臭污染物排放标准》（GB14554-93）相应排放限值要求；挥发性有机物排放满足《工业企业挥发性有机物排放控制标准》(DB13/2322-2016)和《挥发性有机物无组织排放控制标准》(GB37822-2019)中相应排放限值要求。</w:t>
            </w:r>
          </w:p>
        </w:tc>
      </w:tr>
      <w:tr w14:paraId="453F8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610FB3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03A3FCE">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27882CA2">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516A2C9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CDA9FE5">
            <w:pPr>
              <w:widowControl/>
              <w:spacing w:line="0" w:lineRule="atLeast"/>
              <w:jc w:val="center"/>
              <w:rPr>
                <w:rFonts w:ascii="仿宋" w:hAnsi="仿宋" w:eastAsia="仿宋" w:cs="仿宋"/>
                <w:bCs/>
                <w:spacing w:val="-10"/>
                <w:kern w:val="0"/>
                <w:sz w:val="24"/>
              </w:rPr>
            </w:pPr>
          </w:p>
        </w:tc>
        <w:tc>
          <w:tcPr>
            <w:tcW w:w="1134" w:type="dxa"/>
            <w:noWrap w:val="0"/>
            <w:vAlign w:val="center"/>
          </w:tcPr>
          <w:p w14:paraId="434D2B9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43A1B3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厂内环境风险防控系统应纳入园区环境风险防控体系，明确风险防控设施、管理的衔接要求。按照“分类管理、分级响应、区域联动”的原则，明确分级响应程序。</w:t>
            </w:r>
          </w:p>
        </w:tc>
      </w:tr>
      <w:tr w14:paraId="0450F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BE56A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C1AEC26">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50C0C4F3">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7E244F7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9BE8328">
            <w:pPr>
              <w:widowControl/>
              <w:spacing w:line="0" w:lineRule="atLeast"/>
              <w:jc w:val="center"/>
              <w:rPr>
                <w:rFonts w:ascii="仿宋" w:hAnsi="仿宋" w:eastAsia="仿宋" w:cs="仿宋"/>
                <w:bCs/>
                <w:spacing w:val="-10"/>
                <w:kern w:val="0"/>
                <w:sz w:val="24"/>
              </w:rPr>
            </w:pPr>
          </w:p>
        </w:tc>
        <w:tc>
          <w:tcPr>
            <w:tcW w:w="1134" w:type="dxa"/>
            <w:noWrap w:val="0"/>
            <w:vAlign w:val="center"/>
          </w:tcPr>
          <w:p w14:paraId="30F92DD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C646D0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驻企业满足：单位工业增加值综合能耗应≤0.5吨标准煤/万元；单位工业增加值新鲜水耗≤8立方米/万元；再生水回用率≥30%；土地投资强度≥200万元/亩。2.禁燃区内严格按照相应的高污染燃料禁燃区的通告要求执行。</w:t>
            </w:r>
          </w:p>
        </w:tc>
      </w:tr>
      <w:tr w14:paraId="5F8D5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75" w:hRule="atLeast"/>
          <w:jc w:val="center"/>
        </w:trPr>
        <w:tc>
          <w:tcPr>
            <w:tcW w:w="595" w:type="dxa"/>
            <w:vMerge w:val="restart"/>
            <w:noWrap w:val="0"/>
            <w:vAlign w:val="center"/>
          </w:tcPr>
          <w:p w14:paraId="4FEECAB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ZH13040220005</w:t>
            </w:r>
          </w:p>
        </w:tc>
        <w:tc>
          <w:tcPr>
            <w:tcW w:w="567" w:type="dxa"/>
            <w:vMerge w:val="restart"/>
            <w:noWrap w:val="0"/>
            <w:vAlign w:val="center"/>
          </w:tcPr>
          <w:p w14:paraId="5DE7382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297E72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北张庄镇、浴新南街道</w:t>
            </w:r>
          </w:p>
        </w:tc>
        <w:tc>
          <w:tcPr>
            <w:tcW w:w="708" w:type="dxa"/>
            <w:vMerge w:val="restart"/>
            <w:noWrap w:val="0"/>
            <w:vAlign w:val="center"/>
          </w:tcPr>
          <w:p w14:paraId="5AD303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6F6413A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大气环境高排放重点管控区、水环境工业污染重点管控区、邯山经济开发区(东二区)、高污染燃料禁燃区</w:t>
            </w:r>
          </w:p>
        </w:tc>
        <w:tc>
          <w:tcPr>
            <w:tcW w:w="1134" w:type="dxa"/>
            <w:noWrap w:val="0"/>
            <w:vAlign w:val="center"/>
          </w:tcPr>
          <w:p w14:paraId="586725D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AFEE63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严格限制和禁止引进不符合经济开发区产业定位的项目。</w:t>
            </w:r>
          </w:p>
        </w:tc>
      </w:tr>
      <w:tr w14:paraId="1D39C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0005F5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A2C7584">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2D0B9832">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467DACA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087C670">
            <w:pPr>
              <w:widowControl/>
              <w:spacing w:line="0" w:lineRule="atLeast"/>
              <w:jc w:val="center"/>
              <w:rPr>
                <w:rFonts w:ascii="仿宋" w:hAnsi="仿宋" w:eastAsia="仿宋" w:cs="仿宋"/>
                <w:bCs/>
                <w:spacing w:val="-10"/>
                <w:kern w:val="0"/>
                <w:sz w:val="24"/>
              </w:rPr>
            </w:pPr>
          </w:p>
        </w:tc>
        <w:tc>
          <w:tcPr>
            <w:tcW w:w="1134" w:type="dxa"/>
            <w:noWrap w:val="0"/>
            <w:vAlign w:val="center"/>
          </w:tcPr>
          <w:p w14:paraId="18444C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59772B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污染物排放满足《工业企业挥发性有机物排放控制标准》(DB13/2322-2016)、《挥发性有机物无组织排放控制标准》(GB37822-2019)、《恶臭污染物排放标准》（GB14554-93）中相应排放限值要求。</w:t>
            </w:r>
          </w:p>
        </w:tc>
      </w:tr>
      <w:tr w14:paraId="3D671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255105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99704F3">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7B4FD041">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55D6AF3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1983D9D">
            <w:pPr>
              <w:widowControl/>
              <w:spacing w:line="0" w:lineRule="atLeast"/>
              <w:jc w:val="center"/>
              <w:rPr>
                <w:rFonts w:ascii="仿宋" w:hAnsi="仿宋" w:eastAsia="仿宋" w:cs="仿宋"/>
                <w:bCs/>
                <w:spacing w:val="-10"/>
                <w:kern w:val="0"/>
                <w:sz w:val="24"/>
              </w:rPr>
            </w:pPr>
          </w:p>
        </w:tc>
        <w:tc>
          <w:tcPr>
            <w:tcW w:w="1134" w:type="dxa"/>
            <w:noWrap w:val="0"/>
            <w:vAlign w:val="center"/>
          </w:tcPr>
          <w:p w14:paraId="5FC06F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E5FA20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660B7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F96CA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732882E">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28C60DE4">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4D3D070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991DFD7">
            <w:pPr>
              <w:widowControl/>
              <w:spacing w:line="0" w:lineRule="atLeast"/>
              <w:jc w:val="center"/>
              <w:rPr>
                <w:rFonts w:ascii="仿宋" w:hAnsi="仿宋" w:eastAsia="仿宋" w:cs="仿宋"/>
                <w:bCs/>
                <w:spacing w:val="-10"/>
                <w:kern w:val="0"/>
                <w:sz w:val="24"/>
              </w:rPr>
            </w:pPr>
          </w:p>
        </w:tc>
        <w:tc>
          <w:tcPr>
            <w:tcW w:w="1134" w:type="dxa"/>
            <w:noWrap w:val="0"/>
            <w:vAlign w:val="center"/>
          </w:tcPr>
          <w:p w14:paraId="21E59FB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942B7C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7B88DB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CB251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ZH13040220006</w:t>
            </w:r>
          </w:p>
        </w:tc>
        <w:tc>
          <w:tcPr>
            <w:tcW w:w="567" w:type="dxa"/>
            <w:vMerge w:val="restart"/>
            <w:noWrap w:val="0"/>
            <w:vAlign w:val="center"/>
          </w:tcPr>
          <w:p w14:paraId="1A0F00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16DE22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北张庄镇、浴新南街道</w:t>
            </w:r>
          </w:p>
        </w:tc>
        <w:tc>
          <w:tcPr>
            <w:tcW w:w="708" w:type="dxa"/>
            <w:vMerge w:val="restart"/>
            <w:noWrap w:val="0"/>
            <w:vAlign w:val="center"/>
          </w:tcPr>
          <w:p w14:paraId="6DE50DD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E3CBD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大气环境高排放重点管控区、水环境工业污染重点管控区、邯山经济开发区(西区)、高污染燃料禁燃区</w:t>
            </w:r>
          </w:p>
        </w:tc>
        <w:tc>
          <w:tcPr>
            <w:tcW w:w="1134" w:type="dxa"/>
            <w:noWrap w:val="0"/>
            <w:vAlign w:val="center"/>
          </w:tcPr>
          <w:p w14:paraId="780CF7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top"/>
          </w:tcPr>
          <w:p w14:paraId="4481289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严格限制和禁止引进不符合经济开发区产业定位的项目。</w:t>
            </w:r>
          </w:p>
        </w:tc>
      </w:tr>
      <w:tr w14:paraId="7C96A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1" w:hRule="atLeast"/>
          <w:jc w:val="center"/>
        </w:trPr>
        <w:tc>
          <w:tcPr>
            <w:tcW w:w="595" w:type="dxa"/>
            <w:vMerge w:val="continue"/>
            <w:noWrap w:val="0"/>
            <w:vAlign w:val="center"/>
          </w:tcPr>
          <w:p w14:paraId="7431E05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E00030B">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0209875A">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793BC28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C7D9C0A">
            <w:pPr>
              <w:widowControl/>
              <w:spacing w:line="0" w:lineRule="atLeast"/>
              <w:jc w:val="center"/>
              <w:rPr>
                <w:rFonts w:ascii="仿宋" w:hAnsi="仿宋" w:eastAsia="仿宋" w:cs="仿宋"/>
                <w:bCs/>
                <w:spacing w:val="-10"/>
                <w:kern w:val="0"/>
                <w:sz w:val="24"/>
              </w:rPr>
            </w:pPr>
          </w:p>
        </w:tc>
        <w:tc>
          <w:tcPr>
            <w:tcW w:w="1134" w:type="dxa"/>
            <w:noWrap w:val="0"/>
            <w:vAlign w:val="center"/>
          </w:tcPr>
          <w:p w14:paraId="4B371ED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72B0DE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污染物排放满足《工业企业挥发性有机物排放控制标准》(DB13/2322-2016)、《挥发性有机物无组织排放控制标准》(GB37822-2019)、《恶臭污染物排放标准》（GB14554-93）中相应排放限值要求。</w:t>
            </w:r>
          </w:p>
        </w:tc>
      </w:tr>
      <w:tr w14:paraId="50F24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88170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DC3269D">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496D9512">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7CF5ECF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0920E8D">
            <w:pPr>
              <w:widowControl/>
              <w:spacing w:line="0" w:lineRule="atLeast"/>
              <w:jc w:val="center"/>
              <w:rPr>
                <w:rFonts w:ascii="仿宋" w:hAnsi="仿宋" w:eastAsia="仿宋" w:cs="仿宋"/>
                <w:bCs/>
                <w:spacing w:val="-10"/>
                <w:kern w:val="0"/>
                <w:sz w:val="24"/>
              </w:rPr>
            </w:pPr>
          </w:p>
        </w:tc>
        <w:tc>
          <w:tcPr>
            <w:tcW w:w="1134" w:type="dxa"/>
            <w:noWrap w:val="0"/>
            <w:vAlign w:val="center"/>
          </w:tcPr>
          <w:p w14:paraId="4A1EDCD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13CFFD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698D0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16" w:hRule="atLeast"/>
          <w:jc w:val="center"/>
        </w:trPr>
        <w:tc>
          <w:tcPr>
            <w:tcW w:w="595" w:type="dxa"/>
            <w:vMerge w:val="continue"/>
            <w:noWrap w:val="0"/>
            <w:vAlign w:val="center"/>
          </w:tcPr>
          <w:p w14:paraId="3E509C0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1C1F53B">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1E612D56">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1314490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96D7ABB">
            <w:pPr>
              <w:widowControl/>
              <w:spacing w:line="0" w:lineRule="atLeast"/>
              <w:jc w:val="center"/>
              <w:rPr>
                <w:rFonts w:ascii="仿宋" w:hAnsi="仿宋" w:eastAsia="仿宋" w:cs="仿宋"/>
                <w:bCs/>
                <w:spacing w:val="-10"/>
                <w:kern w:val="0"/>
                <w:sz w:val="24"/>
              </w:rPr>
            </w:pPr>
          </w:p>
        </w:tc>
        <w:tc>
          <w:tcPr>
            <w:tcW w:w="1134" w:type="dxa"/>
            <w:noWrap w:val="0"/>
            <w:vAlign w:val="center"/>
          </w:tcPr>
          <w:p w14:paraId="2428899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B3E25E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4B724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046373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ZH13040220007</w:t>
            </w:r>
          </w:p>
        </w:tc>
        <w:tc>
          <w:tcPr>
            <w:tcW w:w="567" w:type="dxa"/>
            <w:vMerge w:val="restart"/>
            <w:noWrap w:val="0"/>
            <w:vAlign w:val="center"/>
          </w:tcPr>
          <w:p w14:paraId="6CEA2D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5DCF280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代召乡、南堡乡</w:t>
            </w:r>
          </w:p>
        </w:tc>
        <w:tc>
          <w:tcPr>
            <w:tcW w:w="708" w:type="dxa"/>
            <w:vMerge w:val="restart"/>
            <w:noWrap w:val="0"/>
            <w:vAlign w:val="center"/>
          </w:tcPr>
          <w:p w14:paraId="72CB33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7AE66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大气环境高排放重点管控区、水环境工业污染重点管控区、河北邯郸工业园区(东区)、高污染燃料禁燃区</w:t>
            </w:r>
          </w:p>
        </w:tc>
        <w:tc>
          <w:tcPr>
            <w:tcW w:w="1134" w:type="dxa"/>
            <w:noWrap w:val="0"/>
            <w:vAlign w:val="center"/>
          </w:tcPr>
          <w:p w14:paraId="4BDC821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top"/>
          </w:tcPr>
          <w:p w14:paraId="032BC8A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严格限制和禁止引进不符合经济开发区产业定位的项目。</w:t>
            </w:r>
          </w:p>
        </w:tc>
      </w:tr>
      <w:tr w14:paraId="273A8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95F2A2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5AAA2CE">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0E583D4A">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308333B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71F591D">
            <w:pPr>
              <w:widowControl/>
              <w:spacing w:line="0" w:lineRule="atLeast"/>
              <w:jc w:val="center"/>
              <w:rPr>
                <w:rFonts w:ascii="仿宋" w:hAnsi="仿宋" w:eastAsia="仿宋" w:cs="仿宋"/>
                <w:bCs/>
                <w:spacing w:val="-10"/>
                <w:kern w:val="0"/>
                <w:sz w:val="24"/>
              </w:rPr>
            </w:pPr>
          </w:p>
        </w:tc>
        <w:tc>
          <w:tcPr>
            <w:tcW w:w="1134" w:type="dxa"/>
            <w:noWrap w:val="0"/>
            <w:vAlign w:val="center"/>
          </w:tcPr>
          <w:p w14:paraId="4BDCEA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726AE04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污染物排放满足《工业企业挥发性有机物排放控制标准》(DB13/2322-2016)、《挥发性有机物无组织排放控制标准》(GB37822-2019)、《恶臭污染物排放标准》（GB14554-93）中相应排放限值要求。</w:t>
            </w:r>
          </w:p>
        </w:tc>
      </w:tr>
      <w:tr w14:paraId="3C949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CA2EA8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8950BC">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38CB4CE8">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3C1D0B4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8B9F33A">
            <w:pPr>
              <w:widowControl/>
              <w:spacing w:line="0" w:lineRule="atLeast"/>
              <w:jc w:val="center"/>
              <w:rPr>
                <w:rFonts w:ascii="仿宋" w:hAnsi="仿宋" w:eastAsia="仿宋" w:cs="仿宋"/>
                <w:bCs/>
                <w:spacing w:val="-10"/>
                <w:kern w:val="0"/>
                <w:sz w:val="24"/>
              </w:rPr>
            </w:pPr>
          </w:p>
        </w:tc>
        <w:tc>
          <w:tcPr>
            <w:tcW w:w="1134" w:type="dxa"/>
            <w:noWrap w:val="0"/>
            <w:vAlign w:val="center"/>
          </w:tcPr>
          <w:p w14:paraId="57160C4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528004A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园区应加强管理，严格落实规划环评及企业环评提出的风险防范措施，结合园区突发环境事件应急预案，进一步指导园区风险污染防控。</w:t>
            </w:r>
          </w:p>
        </w:tc>
      </w:tr>
      <w:tr w14:paraId="5314F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CCDCB3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311EDEC">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25F670E1">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416D339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E77E592">
            <w:pPr>
              <w:widowControl/>
              <w:spacing w:line="0" w:lineRule="atLeast"/>
              <w:jc w:val="center"/>
              <w:rPr>
                <w:rFonts w:ascii="仿宋" w:hAnsi="仿宋" w:eastAsia="仿宋" w:cs="仿宋"/>
                <w:bCs/>
                <w:spacing w:val="-10"/>
                <w:kern w:val="0"/>
                <w:sz w:val="24"/>
              </w:rPr>
            </w:pPr>
          </w:p>
        </w:tc>
        <w:tc>
          <w:tcPr>
            <w:tcW w:w="1134" w:type="dxa"/>
            <w:noWrap w:val="0"/>
            <w:vAlign w:val="center"/>
          </w:tcPr>
          <w:p w14:paraId="3D8733A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BDF09B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53563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C1B6F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ZH13040220008</w:t>
            </w:r>
          </w:p>
        </w:tc>
        <w:tc>
          <w:tcPr>
            <w:tcW w:w="567" w:type="dxa"/>
            <w:vMerge w:val="restart"/>
            <w:noWrap w:val="0"/>
            <w:vAlign w:val="center"/>
          </w:tcPr>
          <w:p w14:paraId="0355C2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5D144D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火磨街道、陵园街道、光明路街道、滏东街道、罗城头街道、渚河路街道、浴新南街道、农林路街道、贸东街道、贸西街道、盛和路街道、北张庄镇、南堡乡、人民路街道办事处</w:t>
            </w:r>
          </w:p>
        </w:tc>
        <w:tc>
          <w:tcPr>
            <w:tcW w:w="708" w:type="dxa"/>
            <w:vMerge w:val="restart"/>
            <w:noWrap w:val="0"/>
            <w:vAlign w:val="center"/>
          </w:tcPr>
          <w:p w14:paraId="5E2401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D13C2E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 高污染燃料禁燃区</w:t>
            </w:r>
          </w:p>
        </w:tc>
        <w:tc>
          <w:tcPr>
            <w:tcW w:w="1134" w:type="dxa"/>
            <w:noWrap w:val="0"/>
            <w:vAlign w:val="center"/>
          </w:tcPr>
          <w:p w14:paraId="380175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240DCC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提高VOCs排放重点行业环保准入门槛，严格控制新增污染物排放量。新建涉VOCs排放的工业企业要入园区。3.省级及以上工业园区以外禁止新建和扩建涂料、油墨、颜料及类似产品制造(等量置换除外)。</w:t>
            </w:r>
          </w:p>
        </w:tc>
      </w:tr>
      <w:tr w14:paraId="3B021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C168C7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977C787">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73CB0999">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0B7B00F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ACEA621">
            <w:pPr>
              <w:widowControl/>
              <w:spacing w:line="0" w:lineRule="atLeast"/>
              <w:jc w:val="center"/>
              <w:rPr>
                <w:rFonts w:ascii="仿宋" w:hAnsi="仿宋" w:eastAsia="仿宋" w:cs="仿宋"/>
                <w:bCs/>
                <w:spacing w:val="-10"/>
                <w:kern w:val="0"/>
                <w:sz w:val="24"/>
              </w:rPr>
            </w:pPr>
          </w:p>
        </w:tc>
        <w:tc>
          <w:tcPr>
            <w:tcW w:w="1134" w:type="dxa"/>
            <w:noWrap w:val="0"/>
            <w:vAlign w:val="center"/>
          </w:tcPr>
          <w:p w14:paraId="014BFAE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34BEB7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白酒行业水污染物排放满足《发酵酒精和白酒工业水污染物排放标准》(GB27631-2011)中相应排放限值要求；其他运行管理要求按照《饮料酒制造业污染防治技术政策》（公告2018年第7号）执行。2.油墨、涂料行业污染物排放满足《涂料、油墨及胶粘剂工业大气污染物排放标准》(GB37824-2019)、《油墨工业水污染物排放标准》(GB25463-2010)、《工业企业挥发性有机物排放控制标准》(DB13/2322-2016)和《挥发性有机物无组织排放控制标准》(GB37822-2019)中相应排放限值要求。3.印刷工业污染防治措施按照《印刷工业污染防治可行技术指南》(HJ1089-2020)和《关于印发&lt;河北省重点行业挥发性有机物污染控制技术指引&gt;》(冀环大气〔2019〕501号)中相应要求执行。4.全面加强原辅材料源头替代，从源头减少VOCs产生。涉VOCs重点企业全面执行《挥发性有机物无组织排放控制标准》(GB37822-2019)。选择适宜的废气治理工艺，对VOCs污染源进行有效处理。5.加快完善区域污水管网建设，提高污水收集率，严禁生活污水不经处理直接外排。6.现有及新（改、扩）建向环境水体直接排放污水的排污单位满足《子牙河流域水污染物排放标准》（DB13/2796-2018)相应排放限值要求。</w:t>
            </w:r>
          </w:p>
        </w:tc>
      </w:tr>
      <w:tr w14:paraId="6E5F0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0783FE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4592666">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2A2971F8">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5B8F109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98925DB">
            <w:pPr>
              <w:widowControl/>
              <w:spacing w:line="0" w:lineRule="atLeast"/>
              <w:jc w:val="center"/>
              <w:rPr>
                <w:rFonts w:ascii="仿宋" w:hAnsi="仿宋" w:eastAsia="仿宋" w:cs="仿宋"/>
                <w:bCs/>
                <w:spacing w:val="-10"/>
                <w:kern w:val="0"/>
                <w:sz w:val="24"/>
              </w:rPr>
            </w:pPr>
          </w:p>
        </w:tc>
        <w:tc>
          <w:tcPr>
            <w:tcW w:w="1134" w:type="dxa"/>
            <w:noWrap w:val="0"/>
            <w:vAlign w:val="center"/>
          </w:tcPr>
          <w:p w14:paraId="2435D3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233FB3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酒糟、滤渣等堆场应防雨、防渗。应对废硅藻土全部收集并妥善处置（填埋等），禁止排入下水道和环境中。2.工艺过程中产生的含VOCs废料(渣、液)满足《挥发性有机物无组织排放控制标准》(GB37822-2019)中的要求。</w:t>
            </w:r>
          </w:p>
        </w:tc>
      </w:tr>
      <w:tr w14:paraId="46FA1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A3B6FA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2410D84">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6609F0EF">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19779B5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9FC0A12">
            <w:pPr>
              <w:widowControl/>
              <w:spacing w:line="0" w:lineRule="atLeast"/>
              <w:jc w:val="center"/>
              <w:rPr>
                <w:rFonts w:ascii="仿宋" w:hAnsi="仿宋" w:eastAsia="仿宋" w:cs="仿宋"/>
                <w:bCs/>
                <w:spacing w:val="-10"/>
                <w:kern w:val="0"/>
                <w:sz w:val="24"/>
              </w:rPr>
            </w:pPr>
          </w:p>
        </w:tc>
        <w:tc>
          <w:tcPr>
            <w:tcW w:w="1134" w:type="dxa"/>
            <w:noWrap w:val="0"/>
            <w:vAlign w:val="center"/>
          </w:tcPr>
          <w:p w14:paraId="286801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2B498C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530E8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781F56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ZH13040220009</w:t>
            </w:r>
          </w:p>
        </w:tc>
        <w:tc>
          <w:tcPr>
            <w:tcW w:w="567" w:type="dxa"/>
            <w:vMerge w:val="restart"/>
            <w:noWrap w:val="0"/>
            <w:vAlign w:val="center"/>
          </w:tcPr>
          <w:p w14:paraId="3EECB11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6C130D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代召乡、南堡乡</w:t>
            </w:r>
          </w:p>
        </w:tc>
        <w:tc>
          <w:tcPr>
            <w:tcW w:w="708" w:type="dxa"/>
            <w:vMerge w:val="restart"/>
            <w:noWrap w:val="0"/>
            <w:vAlign w:val="center"/>
          </w:tcPr>
          <w:p w14:paraId="04900F6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2A31B15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大气环境受体敏感重点管控区、大气环境布局敏感重点管控区、水环境城镇生活污染重点管控区、高污染燃料禁燃区</w:t>
            </w:r>
          </w:p>
        </w:tc>
        <w:tc>
          <w:tcPr>
            <w:tcW w:w="1134" w:type="dxa"/>
            <w:noWrap w:val="0"/>
            <w:vAlign w:val="center"/>
          </w:tcPr>
          <w:p w14:paraId="418CDF7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top"/>
          </w:tcPr>
          <w:p w14:paraId="13A0C6F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提高VOCs排放重点行业环保准入门槛，严格控制新增污染物排放量。新建涉VOCs排放的工业企业要入园区。3.禁止建设生产和使用高VOCs含量的溶剂型涂料、油墨、胶粘剂等项目。</w:t>
            </w:r>
          </w:p>
        </w:tc>
      </w:tr>
      <w:tr w14:paraId="32A1E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3CA26C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403990E">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21ECCF72">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4D4EC36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55C4D79">
            <w:pPr>
              <w:widowControl/>
              <w:spacing w:line="0" w:lineRule="atLeast"/>
              <w:jc w:val="center"/>
              <w:rPr>
                <w:rFonts w:ascii="仿宋" w:hAnsi="仿宋" w:eastAsia="仿宋" w:cs="仿宋"/>
                <w:bCs/>
                <w:spacing w:val="-10"/>
                <w:kern w:val="0"/>
                <w:sz w:val="24"/>
              </w:rPr>
            </w:pPr>
          </w:p>
        </w:tc>
        <w:tc>
          <w:tcPr>
            <w:tcW w:w="1134" w:type="dxa"/>
            <w:noWrap w:val="0"/>
            <w:vAlign w:val="center"/>
          </w:tcPr>
          <w:p w14:paraId="0DAC10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78F680E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木制家具制造行业清漆、色漆水性涂料等低挥发性有机物含量涂料替代比例达到60%。污染物排放满足《工业企业挥发性有机物排放控制标准》(DB13/2322-2016)和《挥发性有机物无组织排放控制标准》(GB37822-2019)中相应排放限值要求。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1200C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D33BAB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1809841">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63F5E5D2">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7E5661B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E907BCD">
            <w:pPr>
              <w:widowControl/>
              <w:spacing w:line="0" w:lineRule="atLeast"/>
              <w:jc w:val="center"/>
              <w:rPr>
                <w:rFonts w:ascii="仿宋" w:hAnsi="仿宋" w:eastAsia="仿宋" w:cs="仿宋"/>
                <w:bCs/>
                <w:spacing w:val="-10"/>
                <w:kern w:val="0"/>
                <w:sz w:val="24"/>
              </w:rPr>
            </w:pPr>
          </w:p>
        </w:tc>
        <w:tc>
          <w:tcPr>
            <w:tcW w:w="1134" w:type="dxa"/>
            <w:noWrap w:val="0"/>
            <w:vAlign w:val="center"/>
          </w:tcPr>
          <w:p w14:paraId="58E9E4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9A0CFE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77DB6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145E79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EB8418C">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448813E2">
            <w:pPr>
              <w:widowControl/>
              <w:spacing w:line="0" w:lineRule="atLeast"/>
              <w:jc w:val="center"/>
              <w:rPr>
                <w:rFonts w:ascii="仿宋" w:hAnsi="仿宋" w:eastAsia="仿宋" w:cs="仿宋"/>
                <w:bCs/>
                <w:spacing w:val="-10"/>
                <w:kern w:val="0"/>
                <w:sz w:val="24"/>
              </w:rPr>
            </w:pPr>
          </w:p>
        </w:tc>
        <w:tc>
          <w:tcPr>
            <w:tcW w:w="708" w:type="dxa"/>
            <w:vMerge w:val="continue"/>
            <w:noWrap w:val="0"/>
            <w:vAlign w:val="center"/>
          </w:tcPr>
          <w:p w14:paraId="7B06321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141F60F">
            <w:pPr>
              <w:widowControl/>
              <w:spacing w:line="0" w:lineRule="atLeast"/>
              <w:jc w:val="center"/>
              <w:rPr>
                <w:rFonts w:ascii="仿宋" w:hAnsi="仿宋" w:eastAsia="仿宋" w:cs="仿宋"/>
                <w:bCs/>
                <w:spacing w:val="-10"/>
                <w:kern w:val="0"/>
                <w:sz w:val="24"/>
              </w:rPr>
            </w:pPr>
          </w:p>
        </w:tc>
        <w:tc>
          <w:tcPr>
            <w:tcW w:w="1134" w:type="dxa"/>
            <w:noWrap w:val="0"/>
            <w:vAlign w:val="center"/>
          </w:tcPr>
          <w:p w14:paraId="7FF4FD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35264E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5D637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8DCE7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ZH13040220010</w:t>
            </w:r>
          </w:p>
        </w:tc>
        <w:tc>
          <w:tcPr>
            <w:tcW w:w="567" w:type="dxa"/>
            <w:vMerge w:val="restart"/>
            <w:noWrap w:val="0"/>
            <w:vAlign w:val="center"/>
          </w:tcPr>
          <w:p w14:paraId="437AB3B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邯山区</w:t>
            </w:r>
          </w:p>
        </w:tc>
        <w:tc>
          <w:tcPr>
            <w:tcW w:w="993" w:type="dxa"/>
            <w:vMerge w:val="restart"/>
            <w:noWrap w:val="0"/>
            <w:vAlign w:val="center"/>
          </w:tcPr>
          <w:p w14:paraId="239C2D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河沙镇</w:t>
            </w:r>
          </w:p>
        </w:tc>
        <w:tc>
          <w:tcPr>
            <w:tcW w:w="708" w:type="dxa"/>
            <w:vMerge w:val="restart"/>
            <w:noWrap w:val="0"/>
            <w:vAlign w:val="center"/>
          </w:tcPr>
          <w:p w14:paraId="0DC46EF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6FDAC48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大气环境受体敏感重点管控区、水环境城镇生活污染重点管控区、高污染燃料禁燃区</w:t>
            </w:r>
          </w:p>
        </w:tc>
        <w:tc>
          <w:tcPr>
            <w:tcW w:w="1134" w:type="dxa"/>
            <w:noWrap w:val="0"/>
            <w:vAlign w:val="center"/>
          </w:tcPr>
          <w:p w14:paraId="3ACED4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top"/>
          </w:tcPr>
          <w:p w14:paraId="19128CF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禁止建设生产和使用高VOCs含量的溶剂型涂料、油墨、胶粘剂等项目。3.项目建设应考虑对周边敏感区的环境影响。</w:t>
            </w:r>
          </w:p>
        </w:tc>
      </w:tr>
      <w:tr w14:paraId="3F601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7D234A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0028D49">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393A5C2D">
            <w:pPr>
              <w:widowControl/>
              <w:spacing w:line="0" w:lineRule="atLeast"/>
              <w:rPr>
                <w:rFonts w:ascii="仿宋" w:hAnsi="仿宋" w:eastAsia="仿宋" w:cs="仿宋"/>
                <w:bCs/>
                <w:spacing w:val="-10"/>
                <w:kern w:val="0"/>
                <w:sz w:val="24"/>
              </w:rPr>
            </w:pPr>
          </w:p>
        </w:tc>
        <w:tc>
          <w:tcPr>
            <w:tcW w:w="708" w:type="dxa"/>
            <w:vMerge w:val="continue"/>
            <w:noWrap w:val="0"/>
            <w:vAlign w:val="center"/>
          </w:tcPr>
          <w:p w14:paraId="4D86CC0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931851E">
            <w:pPr>
              <w:widowControl/>
              <w:spacing w:line="0" w:lineRule="atLeast"/>
              <w:jc w:val="center"/>
              <w:rPr>
                <w:rFonts w:ascii="仿宋" w:hAnsi="仿宋" w:eastAsia="仿宋" w:cs="仿宋"/>
                <w:bCs/>
                <w:spacing w:val="-10"/>
                <w:kern w:val="0"/>
                <w:sz w:val="24"/>
              </w:rPr>
            </w:pPr>
          </w:p>
        </w:tc>
        <w:tc>
          <w:tcPr>
            <w:tcW w:w="1134" w:type="dxa"/>
            <w:noWrap w:val="0"/>
            <w:vAlign w:val="center"/>
          </w:tcPr>
          <w:p w14:paraId="674F7BA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0F7BCD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木制家具制造行业清漆、色漆水性涂料等低挥发性有机物含量涂料替代比例达到60%。污染物排放满足《工业企业挥发性有机物排放控制标准》(DB13/2322-2016)和《挥发性有机物无组织排放控制标准》(GB37822-2019)中相应排放限值要求。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19339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A3A7D4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D02A3EC">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0FD4B141">
            <w:pPr>
              <w:widowControl/>
              <w:spacing w:line="0" w:lineRule="atLeast"/>
              <w:rPr>
                <w:rFonts w:ascii="仿宋" w:hAnsi="仿宋" w:eastAsia="仿宋" w:cs="仿宋"/>
                <w:bCs/>
                <w:spacing w:val="-10"/>
                <w:kern w:val="0"/>
                <w:sz w:val="24"/>
              </w:rPr>
            </w:pPr>
          </w:p>
        </w:tc>
        <w:tc>
          <w:tcPr>
            <w:tcW w:w="708" w:type="dxa"/>
            <w:vMerge w:val="continue"/>
            <w:noWrap w:val="0"/>
            <w:vAlign w:val="center"/>
          </w:tcPr>
          <w:p w14:paraId="3D0D395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C69FECC">
            <w:pPr>
              <w:widowControl/>
              <w:spacing w:line="0" w:lineRule="atLeast"/>
              <w:jc w:val="center"/>
              <w:rPr>
                <w:rFonts w:ascii="仿宋" w:hAnsi="仿宋" w:eastAsia="仿宋" w:cs="仿宋"/>
                <w:bCs/>
                <w:spacing w:val="-10"/>
                <w:kern w:val="0"/>
                <w:sz w:val="24"/>
              </w:rPr>
            </w:pPr>
          </w:p>
        </w:tc>
        <w:tc>
          <w:tcPr>
            <w:tcW w:w="1134" w:type="dxa"/>
            <w:noWrap w:val="0"/>
            <w:vAlign w:val="center"/>
          </w:tcPr>
          <w:p w14:paraId="6DD06D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9EE39A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6637A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52A406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90E12B9">
            <w:pPr>
              <w:widowControl/>
              <w:spacing w:line="0" w:lineRule="atLeast"/>
              <w:jc w:val="center"/>
              <w:rPr>
                <w:rFonts w:ascii="仿宋" w:hAnsi="仿宋" w:eastAsia="仿宋" w:cs="仿宋"/>
                <w:bCs/>
                <w:spacing w:val="-10"/>
                <w:kern w:val="0"/>
                <w:sz w:val="24"/>
              </w:rPr>
            </w:pPr>
          </w:p>
        </w:tc>
        <w:tc>
          <w:tcPr>
            <w:tcW w:w="993" w:type="dxa"/>
            <w:vMerge w:val="continue"/>
            <w:noWrap w:val="0"/>
            <w:vAlign w:val="center"/>
          </w:tcPr>
          <w:p w14:paraId="6D5E58EA">
            <w:pPr>
              <w:widowControl/>
              <w:spacing w:line="0" w:lineRule="atLeast"/>
              <w:rPr>
                <w:rFonts w:ascii="仿宋" w:hAnsi="仿宋" w:eastAsia="仿宋" w:cs="仿宋"/>
                <w:bCs/>
                <w:spacing w:val="-10"/>
                <w:kern w:val="0"/>
                <w:sz w:val="24"/>
              </w:rPr>
            </w:pPr>
          </w:p>
        </w:tc>
        <w:tc>
          <w:tcPr>
            <w:tcW w:w="708" w:type="dxa"/>
            <w:vMerge w:val="continue"/>
            <w:noWrap w:val="0"/>
            <w:vAlign w:val="center"/>
          </w:tcPr>
          <w:p w14:paraId="08C69E6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3AE7039">
            <w:pPr>
              <w:widowControl/>
              <w:spacing w:line="0" w:lineRule="atLeast"/>
              <w:jc w:val="center"/>
              <w:rPr>
                <w:rFonts w:ascii="仿宋" w:hAnsi="仿宋" w:eastAsia="仿宋" w:cs="仿宋"/>
                <w:bCs/>
                <w:spacing w:val="-10"/>
                <w:kern w:val="0"/>
                <w:sz w:val="24"/>
              </w:rPr>
            </w:pPr>
          </w:p>
        </w:tc>
        <w:tc>
          <w:tcPr>
            <w:tcW w:w="1134" w:type="dxa"/>
            <w:noWrap w:val="0"/>
            <w:vAlign w:val="center"/>
          </w:tcPr>
          <w:p w14:paraId="200C5F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2BEFD4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bl>
    <w:p w14:paraId="0DB2261D">
      <w:pPr>
        <w:rPr>
          <w:rFonts w:ascii="仿宋" w:hAnsi="仿宋" w:eastAsia="仿宋" w:cs="仿宋"/>
        </w:rPr>
      </w:pPr>
    </w:p>
    <w:p w14:paraId="2478F9C3">
      <w:pPr>
        <w:pStyle w:val="10"/>
        <w:numPr>
          <w:ilvl w:val="1"/>
          <w:numId w:val="0"/>
        </w:numPr>
        <w:spacing w:beforeLines="50"/>
        <w:ind w:firstLine="420" w:firstLineChars="200"/>
        <w:outlineLvl w:val="1"/>
        <w:rPr>
          <w:rFonts w:ascii="仿宋" w:hAnsi="仿宋" w:eastAsia="仿宋" w:cs="仿宋"/>
          <w:b/>
          <w:sz w:val="28"/>
          <w:szCs w:val="18"/>
        </w:rPr>
      </w:pPr>
      <w:r>
        <w:rPr>
          <w:rFonts w:hint="eastAsia" w:ascii="仿宋" w:hAnsi="仿宋" w:eastAsia="仿宋" w:cs="仿宋"/>
        </w:rPr>
        <w:br w:type="page"/>
      </w:r>
      <w:r>
        <w:rPr>
          <w:rFonts w:hint="eastAsia" w:ascii="仿宋" w:hAnsi="仿宋" w:eastAsia="仿宋" w:cs="仿宋"/>
          <w:bCs/>
          <w:sz w:val="32"/>
          <w:szCs w:val="32"/>
        </w:rPr>
        <w:t>（二）丛台区生态环境准入清单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850"/>
        <w:gridCol w:w="731"/>
        <w:gridCol w:w="1100"/>
        <w:gridCol w:w="1005"/>
        <w:gridCol w:w="4053"/>
      </w:tblGrid>
      <w:tr w14:paraId="79F05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96" w:hRule="atLeast"/>
          <w:tblHeader/>
          <w:jc w:val="center"/>
        </w:trPr>
        <w:tc>
          <w:tcPr>
            <w:tcW w:w="595" w:type="dxa"/>
            <w:shd w:val="clear" w:color="auto" w:fill="D7D7D7"/>
            <w:noWrap w:val="0"/>
            <w:vAlign w:val="center"/>
          </w:tcPr>
          <w:p w14:paraId="0FDA4B7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3E78184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850" w:type="dxa"/>
            <w:shd w:val="clear" w:color="auto" w:fill="D7D7D7"/>
            <w:noWrap w:val="0"/>
            <w:vAlign w:val="center"/>
          </w:tcPr>
          <w:p w14:paraId="34D2E46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31" w:type="dxa"/>
            <w:shd w:val="clear" w:color="auto" w:fill="D7D7D7"/>
            <w:noWrap w:val="0"/>
            <w:vAlign w:val="center"/>
          </w:tcPr>
          <w:p w14:paraId="03F7556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1100" w:type="dxa"/>
            <w:shd w:val="clear" w:color="auto" w:fill="D7D7D7"/>
            <w:noWrap w:val="0"/>
            <w:vAlign w:val="center"/>
          </w:tcPr>
          <w:p w14:paraId="5D89CA0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1005" w:type="dxa"/>
            <w:shd w:val="clear" w:color="auto" w:fill="D7D7D7"/>
            <w:noWrap w:val="0"/>
            <w:vAlign w:val="center"/>
          </w:tcPr>
          <w:p w14:paraId="406279B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717B478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30B79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A3A4B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ZH13040310010</w:t>
            </w:r>
          </w:p>
        </w:tc>
        <w:tc>
          <w:tcPr>
            <w:tcW w:w="567" w:type="dxa"/>
            <w:vMerge w:val="restart"/>
            <w:noWrap w:val="0"/>
            <w:vAlign w:val="center"/>
          </w:tcPr>
          <w:p w14:paraId="1D5F026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60F86C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光明桥街道办事处、丛台东街道办事处、柳林桥街道办事处、黄粱梦镇、苏曹乡、南吕固乡、兼庄乡、三陵乡</w:t>
            </w:r>
          </w:p>
        </w:tc>
        <w:tc>
          <w:tcPr>
            <w:tcW w:w="731" w:type="dxa"/>
            <w:vMerge w:val="restart"/>
            <w:noWrap w:val="0"/>
            <w:vAlign w:val="center"/>
          </w:tcPr>
          <w:p w14:paraId="250FDC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00" w:type="dxa"/>
            <w:vMerge w:val="restart"/>
            <w:noWrap w:val="0"/>
            <w:vAlign w:val="center"/>
          </w:tcPr>
          <w:p w14:paraId="6DAD0E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1005" w:type="dxa"/>
            <w:noWrap w:val="0"/>
            <w:vAlign w:val="center"/>
          </w:tcPr>
          <w:p w14:paraId="30725640">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空间布局</w:t>
            </w:r>
          </w:p>
        </w:tc>
        <w:tc>
          <w:tcPr>
            <w:tcW w:w="4053" w:type="dxa"/>
            <w:noWrap w:val="0"/>
            <w:vAlign w:val="center"/>
          </w:tcPr>
          <w:p w14:paraId="5B3247D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41F7D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CEC3C4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EEC6B5">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49B4449A">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5AE4F26D">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1D30A097">
            <w:pPr>
              <w:widowControl/>
              <w:spacing w:line="0" w:lineRule="atLeast"/>
              <w:jc w:val="center"/>
              <w:rPr>
                <w:rFonts w:ascii="仿宋" w:hAnsi="仿宋" w:eastAsia="仿宋" w:cs="仿宋"/>
                <w:bCs/>
                <w:spacing w:val="-10"/>
                <w:kern w:val="0"/>
                <w:sz w:val="24"/>
              </w:rPr>
            </w:pPr>
          </w:p>
        </w:tc>
        <w:tc>
          <w:tcPr>
            <w:tcW w:w="1005" w:type="dxa"/>
            <w:noWrap w:val="0"/>
            <w:vAlign w:val="center"/>
          </w:tcPr>
          <w:p w14:paraId="17B43ABA">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1E954B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111DD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FC111E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503DE97">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CDE9D12">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4B196671">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72AA73F7">
            <w:pPr>
              <w:widowControl/>
              <w:spacing w:line="0" w:lineRule="atLeast"/>
              <w:jc w:val="center"/>
              <w:rPr>
                <w:rFonts w:ascii="仿宋" w:hAnsi="仿宋" w:eastAsia="仿宋" w:cs="仿宋"/>
                <w:bCs/>
                <w:spacing w:val="-10"/>
                <w:kern w:val="0"/>
                <w:sz w:val="24"/>
              </w:rPr>
            </w:pPr>
          </w:p>
        </w:tc>
        <w:tc>
          <w:tcPr>
            <w:tcW w:w="1005" w:type="dxa"/>
            <w:noWrap w:val="0"/>
            <w:vAlign w:val="center"/>
          </w:tcPr>
          <w:p w14:paraId="676A303B">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环境风险防控</w:t>
            </w:r>
          </w:p>
        </w:tc>
        <w:tc>
          <w:tcPr>
            <w:tcW w:w="4053" w:type="dxa"/>
            <w:noWrap w:val="0"/>
            <w:vAlign w:val="center"/>
          </w:tcPr>
          <w:p w14:paraId="2D36FAC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232CF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65776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8498DDB">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A2F050B">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23C02A83">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0C454ABF">
            <w:pPr>
              <w:widowControl/>
              <w:spacing w:line="0" w:lineRule="atLeast"/>
              <w:jc w:val="center"/>
              <w:rPr>
                <w:rFonts w:ascii="仿宋" w:hAnsi="仿宋" w:eastAsia="仿宋" w:cs="仿宋"/>
                <w:bCs/>
                <w:spacing w:val="-10"/>
                <w:kern w:val="0"/>
                <w:sz w:val="24"/>
              </w:rPr>
            </w:pPr>
          </w:p>
        </w:tc>
        <w:tc>
          <w:tcPr>
            <w:tcW w:w="1005" w:type="dxa"/>
            <w:noWrap w:val="0"/>
            <w:vAlign w:val="center"/>
          </w:tcPr>
          <w:p w14:paraId="63A1A9AD">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资源利用效率</w:t>
            </w:r>
          </w:p>
        </w:tc>
        <w:tc>
          <w:tcPr>
            <w:tcW w:w="4053" w:type="dxa"/>
            <w:noWrap w:val="0"/>
            <w:vAlign w:val="center"/>
          </w:tcPr>
          <w:p w14:paraId="0BD6763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29C56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48" w:hRule="atLeast"/>
          <w:jc w:val="center"/>
        </w:trPr>
        <w:tc>
          <w:tcPr>
            <w:tcW w:w="595" w:type="dxa"/>
            <w:vMerge w:val="restart"/>
            <w:noWrap w:val="0"/>
            <w:vAlign w:val="center"/>
          </w:tcPr>
          <w:p w14:paraId="268462D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ZH13040310011</w:t>
            </w:r>
          </w:p>
        </w:tc>
        <w:tc>
          <w:tcPr>
            <w:tcW w:w="567" w:type="dxa"/>
            <w:vMerge w:val="restart"/>
            <w:noWrap w:val="0"/>
            <w:vAlign w:val="center"/>
          </w:tcPr>
          <w:p w14:paraId="7787F3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1C79C2E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黄粱梦镇、三陵乡</w:t>
            </w:r>
          </w:p>
        </w:tc>
        <w:tc>
          <w:tcPr>
            <w:tcW w:w="731" w:type="dxa"/>
            <w:vMerge w:val="restart"/>
            <w:noWrap w:val="0"/>
            <w:vAlign w:val="center"/>
          </w:tcPr>
          <w:p w14:paraId="38997C6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00" w:type="dxa"/>
            <w:vMerge w:val="restart"/>
            <w:noWrap w:val="0"/>
            <w:vAlign w:val="center"/>
          </w:tcPr>
          <w:p w14:paraId="1564A4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1005" w:type="dxa"/>
            <w:noWrap w:val="0"/>
            <w:vAlign w:val="center"/>
          </w:tcPr>
          <w:p w14:paraId="2F542F03">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空间布局</w:t>
            </w:r>
          </w:p>
        </w:tc>
        <w:tc>
          <w:tcPr>
            <w:tcW w:w="4053" w:type="dxa"/>
            <w:noWrap w:val="0"/>
            <w:vAlign w:val="center"/>
          </w:tcPr>
          <w:p w14:paraId="616BBCD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1.满足生态保护红线相关要求。2.满足《中华人民共和国河道管理条例》相关要求。</w:t>
            </w:r>
          </w:p>
        </w:tc>
      </w:tr>
      <w:tr w14:paraId="3DBE2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9" w:hRule="atLeast"/>
          <w:jc w:val="center"/>
        </w:trPr>
        <w:tc>
          <w:tcPr>
            <w:tcW w:w="595" w:type="dxa"/>
            <w:vMerge w:val="continue"/>
            <w:noWrap w:val="0"/>
            <w:vAlign w:val="center"/>
          </w:tcPr>
          <w:p w14:paraId="6411EE8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0B8B524">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4A6329FB">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4CB4A84E">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715E3C96">
            <w:pPr>
              <w:widowControl/>
              <w:spacing w:line="0" w:lineRule="atLeast"/>
              <w:jc w:val="center"/>
              <w:rPr>
                <w:rFonts w:ascii="仿宋" w:hAnsi="仿宋" w:eastAsia="仿宋" w:cs="仿宋"/>
                <w:bCs/>
                <w:spacing w:val="-10"/>
                <w:kern w:val="0"/>
                <w:sz w:val="24"/>
              </w:rPr>
            </w:pPr>
          </w:p>
        </w:tc>
        <w:tc>
          <w:tcPr>
            <w:tcW w:w="1005" w:type="dxa"/>
            <w:noWrap w:val="0"/>
            <w:vAlign w:val="center"/>
          </w:tcPr>
          <w:p w14:paraId="2DEEC1DD">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1A60BE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60798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3" w:hRule="atLeast"/>
          <w:jc w:val="center"/>
        </w:trPr>
        <w:tc>
          <w:tcPr>
            <w:tcW w:w="595" w:type="dxa"/>
            <w:vMerge w:val="continue"/>
            <w:noWrap w:val="0"/>
            <w:vAlign w:val="center"/>
          </w:tcPr>
          <w:p w14:paraId="4A54CB7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81EB4AB">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F8CD19C">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0B1082A">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7E37C747">
            <w:pPr>
              <w:widowControl/>
              <w:spacing w:line="0" w:lineRule="atLeast"/>
              <w:jc w:val="center"/>
              <w:rPr>
                <w:rFonts w:ascii="仿宋" w:hAnsi="仿宋" w:eastAsia="仿宋" w:cs="仿宋"/>
                <w:bCs/>
                <w:spacing w:val="-10"/>
                <w:kern w:val="0"/>
                <w:sz w:val="24"/>
              </w:rPr>
            </w:pPr>
          </w:p>
        </w:tc>
        <w:tc>
          <w:tcPr>
            <w:tcW w:w="1005" w:type="dxa"/>
            <w:noWrap w:val="0"/>
            <w:vAlign w:val="center"/>
          </w:tcPr>
          <w:p w14:paraId="3B65CB30">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环境风险防控</w:t>
            </w:r>
          </w:p>
        </w:tc>
        <w:tc>
          <w:tcPr>
            <w:tcW w:w="4053" w:type="dxa"/>
            <w:noWrap w:val="0"/>
            <w:vAlign w:val="center"/>
          </w:tcPr>
          <w:p w14:paraId="47620D9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7BC77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7" w:hRule="atLeast"/>
          <w:jc w:val="center"/>
        </w:trPr>
        <w:tc>
          <w:tcPr>
            <w:tcW w:w="595" w:type="dxa"/>
            <w:vMerge w:val="continue"/>
            <w:noWrap w:val="0"/>
            <w:vAlign w:val="center"/>
          </w:tcPr>
          <w:p w14:paraId="1C3487C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A6D8B94">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15085D6">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703E7916">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629E46F7">
            <w:pPr>
              <w:widowControl/>
              <w:spacing w:line="0" w:lineRule="atLeast"/>
              <w:jc w:val="center"/>
              <w:rPr>
                <w:rFonts w:ascii="仿宋" w:hAnsi="仿宋" w:eastAsia="仿宋" w:cs="仿宋"/>
                <w:bCs/>
                <w:spacing w:val="-10"/>
                <w:kern w:val="0"/>
                <w:sz w:val="24"/>
              </w:rPr>
            </w:pPr>
          </w:p>
        </w:tc>
        <w:tc>
          <w:tcPr>
            <w:tcW w:w="1005" w:type="dxa"/>
            <w:noWrap w:val="0"/>
            <w:vAlign w:val="center"/>
          </w:tcPr>
          <w:p w14:paraId="394F6845">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资源利用效率</w:t>
            </w:r>
          </w:p>
        </w:tc>
        <w:tc>
          <w:tcPr>
            <w:tcW w:w="4053" w:type="dxa"/>
            <w:noWrap w:val="0"/>
            <w:vAlign w:val="center"/>
          </w:tcPr>
          <w:p w14:paraId="182047D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1078D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70" w:hRule="atLeast"/>
          <w:jc w:val="center"/>
        </w:trPr>
        <w:tc>
          <w:tcPr>
            <w:tcW w:w="595" w:type="dxa"/>
            <w:vMerge w:val="restart"/>
            <w:noWrap w:val="0"/>
            <w:vAlign w:val="center"/>
          </w:tcPr>
          <w:p w14:paraId="4E8084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ZH13040310012</w:t>
            </w:r>
          </w:p>
        </w:tc>
        <w:tc>
          <w:tcPr>
            <w:tcW w:w="567" w:type="dxa"/>
            <w:vMerge w:val="restart"/>
            <w:noWrap w:val="0"/>
            <w:vAlign w:val="center"/>
          </w:tcPr>
          <w:p w14:paraId="42941A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5D2AE7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三陵乡</w:t>
            </w:r>
          </w:p>
        </w:tc>
        <w:tc>
          <w:tcPr>
            <w:tcW w:w="731" w:type="dxa"/>
            <w:vMerge w:val="restart"/>
            <w:noWrap w:val="0"/>
            <w:vAlign w:val="center"/>
          </w:tcPr>
          <w:p w14:paraId="158342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00" w:type="dxa"/>
            <w:vMerge w:val="restart"/>
            <w:noWrap w:val="0"/>
            <w:vAlign w:val="center"/>
          </w:tcPr>
          <w:p w14:paraId="353C21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太行山水土保持-生物多样性维护生态保护红线</w:t>
            </w:r>
          </w:p>
        </w:tc>
        <w:tc>
          <w:tcPr>
            <w:tcW w:w="1005" w:type="dxa"/>
            <w:noWrap w:val="0"/>
            <w:vAlign w:val="center"/>
          </w:tcPr>
          <w:p w14:paraId="23565EAC">
            <w:pPr>
              <w:widowControl/>
              <w:spacing w:line="0" w:lineRule="atLeast"/>
              <w:jc w:val="center"/>
              <w:rPr>
                <w:rFonts w:ascii="仿宋" w:hAnsi="仿宋" w:eastAsia="仿宋" w:cs="仿宋"/>
                <w:bCs/>
                <w:spacing w:val="-23"/>
                <w:kern w:val="0"/>
                <w:sz w:val="24"/>
              </w:rPr>
            </w:pPr>
            <w:r>
              <w:rPr>
                <w:rFonts w:hint="eastAsia" w:ascii="仿宋" w:hAnsi="仿宋" w:eastAsia="仿宋" w:cs="仿宋"/>
                <w:bCs/>
                <w:spacing w:val="-23"/>
                <w:kern w:val="0"/>
                <w:sz w:val="24"/>
              </w:rPr>
              <w:t>空间布局</w:t>
            </w:r>
          </w:p>
        </w:tc>
        <w:tc>
          <w:tcPr>
            <w:tcW w:w="4053" w:type="dxa"/>
            <w:noWrap w:val="0"/>
            <w:vAlign w:val="center"/>
          </w:tcPr>
          <w:p w14:paraId="67C16CE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1.满足生态保护红线相关要求2、按照总体准入的生态空间总体管控要求中水源涵养、水土保持相应管控要求执行。</w:t>
            </w:r>
          </w:p>
        </w:tc>
      </w:tr>
      <w:tr w14:paraId="5CD18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34C65E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1B6A509">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D5540D9">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24AE461">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438ADD3B">
            <w:pPr>
              <w:widowControl/>
              <w:spacing w:line="0" w:lineRule="atLeast"/>
              <w:jc w:val="center"/>
              <w:rPr>
                <w:rFonts w:ascii="仿宋" w:hAnsi="仿宋" w:eastAsia="仿宋" w:cs="仿宋"/>
                <w:bCs/>
                <w:spacing w:val="-10"/>
                <w:kern w:val="0"/>
                <w:sz w:val="24"/>
              </w:rPr>
            </w:pPr>
          </w:p>
        </w:tc>
        <w:tc>
          <w:tcPr>
            <w:tcW w:w="1005" w:type="dxa"/>
            <w:noWrap w:val="0"/>
            <w:vAlign w:val="center"/>
          </w:tcPr>
          <w:p w14:paraId="386DE1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CD1395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596E9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11597E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FB525D6">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70578665">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3ABB52D6">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74ACAB62">
            <w:pPr>
              <w:widowControl/>
              <w:spacing w:line="0" w:lineRule="atLeast"/>
              <w:jc w:val="center"/>
              <w:rPr>
                <w:rFonts w:ascii="仿宋" w:hAnsi="仿宋" w:eastAsia="仿宋" w:cs="仿宋"/>
                <w:bCs/>
                <w:spacing w:val="-10"/>
                <w:kern w:val="0"/>
                <w:sz w:val="24"/>
              </w:rPr>
            </w:pPr>
          </w:p>
        </w:tc>
        <w:tc>
          <w:tcPr>
            <w:tcW w:w="1005" w:type="dxa"/>
            <w:noWrap w:val="0"/>
            <w:vAlign w:val="center"/>
          </w:tcPr>
          <w:p w14:paraId="22FC37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D816503">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D66F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6648DA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59FCC5">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3736E623">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63018B4">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69CDBD73">
            <w:pPr>
              <w:widowControl/>
              <w:spacing w:line="0" w:lineRule="atLeast"/>
              <w:jc w:val="center"/>
              <w:rPr>
                <w:rFonts w:ascii="仿宋" w:hAnsi="仿宋" w:eastAsia="仿宋" w:cs="仿宋"/>
                <w:bCs/>
                <w:spacing w:val="-10"/>
                <w:kern w:val="0"/>
                <w:sz w:val="24"/>
              </w:rPr>
            </w:pPr>
          </w:p>
        </w:tc>
        <w:tc>
          <w:tcPr>
            <w:tcW w:w="1005" w:type="dxa"/>
            <w:noWrap w:val="0"/>
            <w:vAlign w:val="center"/>
          </w:tcPr>
          <w:p w14:paraId="4FA697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1296A1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52A3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F0D42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ZH13040310013</w:t>
            </w:r>
          </w:p>
        </w:tc>
        <w:tc>
          <w:tcPr>
            <w:tcW w:w="567" w:type="dxa"/>
            <w:vMerge w:val="restart"/>
            <w:noWrap w:val="0"/>
            <w:vAlign w:val="center"/>
          </w:tcPr>
          <w:p w14:paraId="5B3543B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4C5D45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黄粱梦镇、三陵乡</w:t>
            </w:r>
          </w:p>
        </w:tc>
        <w:tc>
          <w:tcPr>
            <w:tcW w:w="731" w:type="dxa"/>
            <w:vMerge w:val="restart"/>
            <w:noWrap w:val="0"/>
            <w:vAlign w:val="center"/>
          </w:tcPr>
          <w:p w14:paraId="17CBFDF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00" w:type="dxa"/>
            <w:vMerge w:val="restart"/>
            <w:noWrap w:val="0"/>
            <w:vAlign w:val="center"/>
          </w:tcPr>
          <w:p w14:paraId="309869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重要引调水通道、南水北调中线</w:t>
            </w:r>
          </w:p>
        </w:tc>
        <w:tc>
          <w:tcPr>
            <w:tcW w:w="1005" w:type="dxa"/>
            <w:noWrap w:val="0"/>
            <w:vAlign w:val="center"/>
          </w:tcPr>
          <w:p w14:paraId="468A18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98CDD8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24E89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2545BC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086B3F1">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D70F0A4">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7BF92CF1">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154B5C85">
            <w:pPr>
              <w:widowControl/>
              <w:spacing w:line="0" w:lineRule="atLeast"/>
              <w:jc w:val="center"/>
              <w:rPr>
                <w:rFonts w:ascii="仿宋" w:hAnsi="仿宋" w:eastAsia="仿宋" w:cs="仿宋"/>
                <w:bCs/>
                <w:spacing w:val="-10"/>
                <w:kern w:val="0"/>
                <w:sz w:val="24"/>
              </w:rPr>
            </w:pPr>
          </w:p>
        </w:tc>
        <w:tc>
          <w:tcPr>
            <w:tcW w:w="1005" w:type="dxa"/>
            <w:noWrap w:val="0"/>
            <w:vAlign w:val="center"/>
          </w:tcPr>
          <w:p w14:paraId="2D17339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D903F9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按照《南水北调中线一期工程总干渠河北段饮用水水源保护区划定和完善方案》中相应水源保护区的要求管控。</w:t>
            </w:r>
          </w:p>
        </w:tc>
      </w:tr>
      <w:tr w14:paraId="148BA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0C6625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070E7F">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ECF5382">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470CEE16">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7C528A57">
            <w:pPr>
              <w:widowControl/>
              <w:spacing w:line="0" w:lineRule="atLeast"/>
              <w:jc w:val="center"/>
              <w:rPr>
                <w:rFonts w:ascii="仿宋" w:hAnsi="仿宋" w:eastAsia="仿宋" w:cs="仿宋"/>
                <w:bCs/>
                <w:spacing w:val="-10"/>
                <w:kern w:val="0"/>
                <w:sz w:val="24"/>
              </w:rPr>
            </w:pPr>
          </w:p>
        </w:tc>
        <w:tc>
          <w:tcPr>
            <w:tcW w:w="1005" w:type="dxa"/>
            <w:noWrap w:val="0"/>
            <w:vAlign w:val="center"/>
          </w:tcPr>
          <w:p w14:paraId="3837847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A2640D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1E2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5DFC41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28CD874">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08D852F1">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2B44424A">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26CADFAE">
            <w:pPr>
              <w:widowControl/>
              <w:spacing w:line="0" w:lineRule="atLeast"/>
              <w:jc w:val="center"/>
              <w:rPr>
                <w:rFonts w:ascii="仿宋" w:hAnsi="仿宋" w:eastAsia="仿宋" w:cs="仿宋"/>
                <w:bCs/>
                <w:spacing w:val="-10"/>
                <w:kern w:val="0"/>
                <w:sz w:val="24"/>
              </w:rPr>
            </w:pPr>
          </w:p>
        </w:tc>
        <w:tc>
          <w:tcPr>
            <w:tcW w:w="1005" w:type="dxa"/>
            <w:noWrap w:val="0"/>
            <w:vAlign w:val="center"/>
          </w:tcPr>
          <w:p w14:paraId="61D0A0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077085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A2EC1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44" w:hRule="atLeast"/>
          <w:jc w:val="center"/>
        </w:trPr>
        <w:tc>
          <w:tcPr>
            <w:tcW w:w="595" w:type="dxa"/>
            <w:vMerge w:val="restart"/>
            <w:noWrap w:val="0"/>
            <w:vAlign w:val="center"/>
          </w:tcPr>
          <w:p w14:paraId="340A75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ZH13040320014</w:t>
            </w:r>
          </w:p>
        </w:tc>
        <w:tc>
          <w:tcPr>
            <w:tcW w:w="567" w:type="dxa"/>
            <w:vMerge w:val="restart"/>
            <w:noWrap w:val="0"/>
            <w:vAlign w:val="center"/>
          </w:tcPr>
          <w:p w14:paraId="4F8C41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71FEB834">
            <w:pPr>
              <w:widowControl/>
              <w:spacing w:line="0" w:lineRule="atLeast"/>
              <w:rPr>
                <w:rFonts w:ascii="仿宋" w:hAnsi="仿宋" w:eastAsia="仿宋" w:cs="仿宋"/>
                <w:bCs/>
                <w:spacing w:val="-10"/>
                <w:kern w:val="0"/>
                <w:sz w:val="24"/>
              </w:rPr>
            </w:pPr>
            <w:r>
              <w:rPr>
                <w:rFonts w:hint="eastAsia" w:ascii="仿宋" w:hAnsi="仿宋" w:eastAsia="仿宋" w:cs="仿宋"/>
                <w:bCs/>
                <w:spacing w:val="-10"/>
                <w:kern w:val="0"/>
                <w:sz w:val="24"/>
              </w:rPr>
              <w:t>四季青街道办事处、黄粱梦镇、苏曹乡、南吕固乡、兼庄乡、三陵乡</w:t>
            </w:r>
          </w:p>
        </w:tc>
        <w:tc>
          <w:tcPr>
            <w:tcW w:w="731" w:type="dxa"/>
            <w:vMerge w:val="restart"/>
            <w:noWrap w:val="0"/>
            <w:vAlign w:val="center"/>
          </w:tcPr>
          <w:p w14:paraId="470C557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00" w:type="dxa"/>
            <w:vMerge w:val="restart"/>
            <w:noWrap w:val="0"/>
            <w:vAlign w:val="center"/>
          </w:tcPr>
          <w:p w14:paraId="1F224A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大气环境布局敏感重点管控区、水环境城镇生活污染重点管控区、高污染燃料禁燃区</w:t>
            </w:r>
          </w:p>
        </w:tc>
        <w:tc>
          <w:tcPr>
            <w:tcW w:w="1005" w:type="dxa"/>
            <w:noWrap w:val="0"/>
            <w:vAlign w:val="center"/>
          </w:tcPr>
          <w:p w14:paraId="1F680B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DE05CF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铸造企业的布局及厂址的确定应符合国家相关法律法规、产业政策以及各地方政府装备制造业和铸造行业的总体规划要求。2.铸造企业规模、生产工艺、生产装备、质量控制和能源消耗、环境保护等指标满足《铸造企业规范条件》(T/CFA0310021-2019)中相应要求。</w:t>
            </w:r>
          </w:p>
        </w:tc>
      </w:tr>
      <w:tr w14:paraId="40CDA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2CA760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6B616A">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6D73C218">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E9E8EAA">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1E0E22CE">
            <w:pPr>
              <w:widowControl/>
              <w:spacing w:line="0" w:lineRule="atLeast"/>
              <w:jc w:val="center"/>
              <w:rPr>
                <w:rFonts w:ascii="仿宋" w:hAnsi="仿宋" w:eastAsia="仿宋" w:cs="仿宋"/>
                <w:bCs/>
                <w:spacing w:val="-10"/>
                <w:kern w:val="0"/>
                <w:sz w:val="24"/>
              </w:rPr>
            </w:pPr>
          </w:p>
        </w:tc>
        <w:tc>
          <w:tcPr>
            <w:tcW w:w="1005" w:type="dxa"/>
            <w:noWrap w:val="0"/>
            <w:vAlign w:val="center"/>
          </w:tcPr>
          <w:p w14:paraId="3A7DF0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7A23201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水泥行业污染物排放满足《水泥工业大气污染物超低排放标准》（DB13/2167—2020）中相应排放限值要求。2.铸造工业污染物排放满足《铸造工业大气污染物排放标准》(GB39726-2020)及地方标准中相应排放限值要求。3.钢铁、水泥、平板玻璃、陶瓷、焦化、铸造行业企业料堆场按照《煤场、料场、渣场扬尘污染控制技术规范》(DB13/T2352-2016)存储要求，实现规范管理。4.加快完善区域污水管网建设，提高污水收集率，严禁生活污水不经处理直接外排。5.现有及新（改、扩）建向环境水体直接排放污水的排污单位满足《子牙河流域水污染物排放标准》（DB13/2796-2018)相应排放限值要求。</w:t>
            </w:r>
          </w:p>
        </w:tc>
      </w:tr>
      <w:tr w14:paraId="6AAF4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1B5588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E0F975C">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366254AB">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534C9716">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52A98C1D">
            <w:pPr>
              <w:widowControl/>
              <w:spacing w:line="0" w:lineRule="atLeast"/>
              <w:jc w:val="center"/>
              <w:rPr>
                <w:rFonts w:ascii="仿宋" w:hAnsi="仿宋" w:eastAsia="仿宋" w:cs="仿宋"/>
                <w:bCs/>
                <w:spacing w:val="-10"/>
                <w:kern w:val="0"/>
                <w:sz w:val="24"/>
              </w:rPr>
            </w:pPr>
          </w:p>
        </w:tc>
        <w:tc>
          <w:tcPr>
            <w:tcW w:w="1005" w:type="dxa"/>
            <w:noWrap w:val="0"/>
            <w:vAlign w:val="center"/>
          </w:tcPr>
          <w:p w14:paraId="0351320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0FC06B6">
            <w:pPr>
              <w:widowControl/>
              <w:spacing w:line="0" w:lineRule="atLeast"/>
              <w:ind w:firstLine="440" w:firstLineChars="200"/>
              <w:rPr>
                <w:rFonts w:ascii="仿宋" w:hAnsi="仿宋" w:eastAsia="仿宋" w:cs="仿宋"/>
                <w:sz w:val="24"/>
              </w:rPr>
            </w:pPr>
            <w:r>
              <w:rPr>
                <w:rFonts w:hint="eastAsia" w:ascii="仿宋" w:hAnsi="仿宋" w:eastAsia="仿宋" w:cs="仿宋"/>
                <w:bCs/>
                <w:spacing w:val="-10"/>
                <w:kern w:val="0"/>
                <w:sz w:val="24"/>
              </w:rPr>
              <w:t>落实重金属相关行业规范条件，禁止新建落后产能项目，严禁产能严重过剩行业新增产能建设项目。禁止向涉重金属相关行业落后产能和产能过剩行业供应土地。</w:t>
            </w:r>
          </w:p>
        </w:tc>
      </w:tr>
      <w:tr w14:paraId="1EF8B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A12FB1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B073DC">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0205C83A">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02EE9099">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533755CD">
            <w:pPr>
              <w:widowControl/>
              <w:spacing w:line="0" w:lineRule="atLeast"/>
              <w:jc w:val="center"/>
              <w:rPr>
                <w:rFonts w:ascii="仿宋" w:hAnsi="仿宋" w:eastAsia="仿宋" w:cs="仿宋"/>
                <w:bCs/>
                <w:spacing w:val="-10"/>
                <w:kern w:val="0"/>
                <w:sz w:val="24"/>
              </w:rPr>
            </w:pPr>
          </w:p>
        </w:tc>
        <w:tc>
          <w:tcPr>
            <w:tcW w:w="1005" w:type="dxa"/>
            <w:noWrap w:val="0"/>
            <w:vAlign w:val="center"/>
          </w:tcPr>
          <w:p w14:paraId="775AFEC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DCE405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73BE7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95FCE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ZH13040320015</w:t>
            </w:r>
          </w:p>
        </w:tc>
        <w:tc>
          <w:tcPr>
            <w:tcW w:w="567" w:type="dxa"/>
            <w:vMerge w:val="restart"/>
            <w:noWrap w:val="0"/>
            <w:vAlign w:val="center"/>
          </w:tcPr>
          <w:p w14:paraId="4AA533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2CE9A5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南吕固乡</w:t>
            </w:r>
          </w:p>
        </w:tc>
        <w:tc>
          <w:tcPr>
            <w:tcW w:w="731" w:type="dxa"/>
            <w:vMerge w:val="restart"/>
            <w:noWrap w:val="0"/>
            <w:vAlign w:val="center"/>
          </w:tcPr>
          <w:p w14:paraId="03CAC9B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00" w:type="dxa"/>
            <w:vMerge w:val="restart"/>
            <w:noWrap w:val="0"/>
            <w:vAlign w:val="center"/>
          </w:tcPr>
          <w:p w14:paraId="2D885B2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水环境城镇生活污染重点管控区、高污染燃料禁燃区</w:t>
            </w:r>
          </w:p>
        </w:tc>
        <w:tc>
          <w:tcPr>
            <w:tcW w:w="1005" w:type="dxa"/>
            <w:noWrap w:val="0"/>
            <w:vAlign w:val="center"/>
          </w:tcPr>
          <w:p w14:paraId="14660F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4053" w:type="dxa"/>
            <w:noWrap w:val="0"/>
            <w:vAlign w:val="top"/>
          </w:tcPr>
          <w:p w14:paraId="63CD234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严格限制和禁止引进不符合经济开发区产业定位的项目。</w:t>
            </w:r>
          </w:p>
        </w:tc>
      </w:tr>
      <w:tr w14:paraId="11854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966C44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FE1051">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31D3EE92">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FF15776">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10705276">
            <w:pPr>
              <w:widowControl/>
              <w:spacing w:line="0" w:lineRule="atLeast"/>
              <w:jc w:val="center"/>
              <w:rPr>
                <w:rFonts w:ascii="仿宋" w:hAnsi="仿宋" w:eastAsia="仿宋" w:cs="仿宋"/>
                <w:bCs/>
                <w:spacing w:val="-10"/>
                <w:kern w:val="0"/>
                <w:sz w:val="24"/>
              </w:rPr>
            </w:pPr>
          </w:p>
        </w:tc>
        <w:tc>
          <w:tcPr>
            <w:tcW w:w="1005" w:type="dxa"/>
            <w:noWrap w:val="0"/>
            <w:vAlign w:val="center"/>
          </w:tcPr>
          <w:p w14:paraId="77FC3D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污染物排放管控</w:t>
            </w:r>
          </w:p>
        </w:tc>
        <w:tc>
          <w:tcPr>
            <w:tcW w:w="4053" w:type="dxa"/>
            <w:noWrap w:val="0"/>
            <w:vAlign w:val="center"/>
          </w:tcPr>
          <w:p w14:paraId="19FA72E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污染物排放满足《工业企业挥发性有机物排放控制标准》(DB13/2322-2016)、《挥发性有机物无组织排放控制标准》(GB37822-2019)、《恶臭污染物排放标准》（GB14554-93）中相应排放限值要求。</w:t>
            </w:r>
          </w:p>
        </w:tc>
      </w:tr>
      <w:tr w14:paraId="0F9EF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6638AF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9492A6A">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0AB8E409">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17E982A">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1BADCA71">
            <w:pPr>
              <w:widowControl/>
              <w:spacing w:line="0" w:lineRule="atLeast"/>
              <w:jc w:val="center"/>
              <w:rPr>
                <w:rFonts w:ascii="仿宋" w:hAnsi="仿宋" w:eastAsia="仿宋" w:cs="仿宋"/>
                <w:bCs/>
                <w:spacing w:val="-10"/>
                <w:kern w:val="0"/>
                <w:sz w:val="24"/>
              </w:rPr>
            </w:pPr>
          </w:p>
        </w:tc>
        <w:tc>
          <w:tcPr>
            <w:tcW w:w="1005" w:type="dxa"/>
            <w:noWrap w:val="0"/>
            <w:vAlign w:val="center"/>
          </w:tcPr>
          <w:p w14:paraId="79B75F8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C372EB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3AB31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C37E59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84FC76E">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489F1872">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20BE29E1">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532F5D81">
            <w:pPr>
              <w:widowControl/>
              <w:spacing w:line="0" w:lineRule="atLeast"/>
              <w:jc w:val="center"/>
              <w:rPr>
                <w:rFonts w:ascii="仿宋" w:hAnsi="仿宋" w:eastAsia="仿宋" w:cs="仿宋"/>
                <w:bCs/>
                <w:spacing w:val="-10"/>
                <w:kern w:val="0"/>
                <w:sz w:val="24"/>
              </w:rPr>
            </w:pPr>
          </w:p>
        </w:tc>
        <w:tc>
          <w:tcPr>
            <w:tcW w:w="1005" w:type="dxa"/>
            <w:noWrap w:val="0"/>
            <w:vAlign w:val="center"/>
          </w:tcPr>
          <w:p w14:paraId="683D016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74E71A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17E82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A110E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ZH13040320016</w:t>
            </w:r>
          </w:p>
        </w:tc>
        <w:tc>
          <w:tcPr>
            <w:tcW w:w="567" w:type="dxa"/>
            <w:vMerge w:val="restart"/>
            <w:noWrap w:val="0"/>
            <w:vAlign w:val="center"/>
          </w:tcPr>
          <w:p w14:paraId="541E62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508EFE8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兼庄乡、柳林桥街道</w:t>
            </w:r>
          </w:p>
        </w:tc>
        <w:tc>
          <w:tcPr>
            <w:tcW w:w="731" w:type="dxa"/>
            <w:vMerge w:val="restart"/>
            <w:noWrap w:val="0"/>
            <w:vAlign w:val="center"/>
          </w:tcPr>
          <w:p w14:paraId="605792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00" w:type="dxa"/>
            <w:vMerge w:val="restart"/>
            <w:noWrap w:val="0"/>
            <w:vAlign w:val="center"/>
          </w:tcPr>
          <w:p w14:paraId="19EE91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大气环境高排放重点管控区、水环境工业污染重点管控区、邯郸工业园区（西区）、高污染燃料禁燃区</w:t>
            </w:r>
          </w:p>
        </w:tc>
        <w:tc>
          <w:tcPr>
            <w:tcW w:w="1005" w:type="dxa"/>
            <w:noWrap w:val="0"/>
            <w:vAlign w:val="center"/>
          </w:tcPr>
          <w:p w14:paraId="1D7AAB0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4053" w:type="dxa"/>
            <w:noWrap w:val="0"/>
            <w:vAlign w:val="center"/>
          </w:tcPr>
          <w:p w14:paraId="58A4F53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严格限制和禁止引进不符合经济开发区产业定位的项目。优化产业结构、布局；优化能源消费结构、利用清洁能源。</w:t>
            </w:r>
          </w:p>
        </w:tc>
      </w:tr>
      <w:tr w14:paraId="5E195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1" w:hRule="atLeast"/>
          <w:jc w:val="center"/>
        </w:trPr>
        <w:tc>
          <w:tcPr>
            <w:tcW w:w="595" w:type="dxa"/>
            <w:vMerge w:val="continue"/>
            <w:noWrap w:val="0"/>
            <w:vAlign w:val="center"/>
          </w:tcPr>
          <w:p w14:paraId="2CB8230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C158962">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1202524A">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B68EA94">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6E0E87BC">
            <w:pPr>
              <w:widowControl/>
              <w:spacing w:line="0" w:lineRule="atLeast"/>
              <w:jc w:val="center"/>
              <w:rPr>
                <w:rFonts w:ascii="仿宋" w:hAnsi="仿宋" w:eastAsia="仿宋" w:cs="仿宋"/>
                <w:bCs/>
                <w:spacing w:val="-10"/>
                <w:kern w:val="0"/>
                <w:sz w:val="24"/>
              </w:rPr>
            </w:pPr>
          </w:p>
        </w:tc>
        <w:tc>
          <w:tcPr>
            <w:tcW w:w="1005" w:type="dxa"/>
            <w:noWrap w:val="0"/>
            <w:vAlign w:val="center"/>
          </w:tcPr>
          <w:p w14:paraId="4C1791C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污染物排放管控</w:t>
            </w:r>
          </w:p>
        </w:tc>
        <w:tc>
          <w:tcPr>
            <w:tcW w:w="4053" w:type="dxa"/>
            <w:noWrap w:val="0"/>
            <w:vAlign w:val="center"/>
          </w:tcPr>
          <w:p w14:paraId="37CB0F9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锅炉大气污染物排放满足《锅炉大气污染物排放标准》（DB13/5161-2020）相应排放限值要求；污染物排放满足《工业企业挥发性有机物排放控制标准》(DB13/2322-2016)、《挥发性有机物无组织排放控制标准》(GB37822-2019)、《恶臭污染物排放标准》（GB14554-93）中相应排放限值要求。工艺尾气污染物严格控制，确保污染物达标排放。</w:t>
            </w:r>
          </w:p>
        </w:tc>
      </w:tr>
      <w:tr w14:paraId="620AA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BA080D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98B595B">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09D991C1">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B070A35">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0056E9DF">
            <w:pPr>
              <w:widowControl/>
              <w:spacing w:line="0" w:lineRule="atLeast"/>
              <w:jc w:val="center"/>
              <w:rPr>
                <w:rFonts w:ascii="仿宋" w:hAnsi="仿宋" w:eastAsia="仿宋" w:cs="仿宋"/>
                <w:bCs/>
                <w:spacing w:val="-10"/>
                <w:kern w:val="0"/>
                <w:sz w:val="24"/>
              </w:rPr>
            </w:pPr>
          </w:p>
        </w:tc>
        <w:tc>
          <w:tcPr>
            <w:tcW w:w="1005" w:type="dxa"/>
            <w:noWrap w:val="0"/>
            <w:vAlign w:val="center"/>
          </w:tcPr>
          <w:p w14:paraId="469587C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C3C9F2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应加强管理，严格落实规划环评及企业环评提出的风险防范措施，结合园区突发环境事件应急预案，进一步指导园区风险污染防控。入区企业根据自身生产规模和性质设立单独的初期雨水池、事故池及消防废水池，并经各自厂区污水处理厂处理达标后排入园区污水处理厂。</w:t>
            </w:r>
          </w:p>
        </w:tc>
      </w:tr>
      <w:tr w14:paraId="2FB2DA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98684D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AADEFB6">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90EFDD7">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57BA5545">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509E17D5">
            <w:pPr>
              <w:widowControl/>
              <w:spacing w:line="0" w:lineRule="atLeast"/>
              <w:jc w:val="center"/>
              <w:rPr>
                <w:rFonts w:ascii="仿宋" w:hAnsi="仿宋" w:eastAsia="仿宋" w:cs="仿宋"/>
                <w:bCs/>
                <w:spacing w:val="-10"/>
                <w:kern w:val="0"/>
                <w:sz w:val="24"/>
              </w:rPr>
            </w:pPr>
          </w:p>
        </w:tc>
        <w:tc>
          <w:tcPr>
            <w:tcW w:w="1005" w:type="dxa"/>
            <w:noWrap w:val="0"/>
            <w:vAlign w:val="center"/>
          </w:tcPr>
          <w:p w14:paraId="4CCECC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03E58E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1.污水集中处理率达到100%，中水回用率远期达到80%以上，减少污水及污染物排放量。加强企业废水治理及管理。2. 禁燃区内严格按照相应的高污染燃料禁燃区的通告要求执行。</w:t>
            </w:r>
          </w:p>
        </w:tc>
      </w:tr>
      <w:tr w14:paraId="29D6F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50" w:hRule="atLeast"/>
          <w:jc w:val="center"/>
        </w:trPr>
        <w:tc>
          <w:tcPr>
            <w:tcW w:w="595" w:type="dxa"/>
            <w:vMerge w:val="restart"/>
            <w:noWrap w:val="0"/>
            <w:vAlign w:val="center"/>
          </w:tcPr>
          <w:p w14:paraId="323014C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ZH13040320017</w:t>
            </w:r>
          </w:p>
        </w:tc>
        <w:tc>
          <w:tcPr>
            <w:tcW w:w="567" w:type="dxa"/>
            <w:vMerge w:val="restart"/>
            <w:noWrap w:val="0"/>
            <w:vAlign w:val="center"/>
          </w:tcPr>
          <w:p w14:paraId="15BB484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5206F48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西街道办事处、联纺西街道办事处、联纺东街道办事处、光明桥街道办事处、丛台东街道办事处、四季青街道办事处、和平街道办事处、中华街道办事处、人民路街道办事处、柳林桥街道办事处、黄粱梦镇、苏曹乡、南吕固乡、兼庄乡、三陵乡</w:t>
            </w:r>
          </w:p>
        </w:tc>
        <w:tc>
          <w:tcPr>
            <w:tcW w:w="731" w:type="dxa"/>
            <w:vMerge w:val="restart"/>
            <w:noWrap w:val="0"/>
            <w:vAlign w:val="center"/>
          </w:tcPr>
          <w:p w14:paraId="1617D06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00" w:type="dxa"/>
            <w:vMerge w:val="restart"/>
            <w:noWrap w:val="0"/>
            <w:vAlign w:val="center"/>
          </w:tcPr>
          <w:p w14:paraId="24A25D6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 xml:space="preserve">大气环境受体敏感重点管控区 水环境城镇生活重点管控区  高污染燃料禁燃区  </w:t>
            </w:r>
          </w:p>
        </w:tc>
        <w:tc>
          <w:tcPr>
            <w:tcW w:w="1005" w:type="dxa"/>
            <w:noWrap w:val="0"/>
            <w:vAlign w:val="center"/>
          </w:tcPr>
          <w:p w14:paraId="05F2D3F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F6AC79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提高VOCs排放重点行业环保准入门槛，严格控制新增污染物排放量。新建涉VOCs排放的工业企业要入园区。3.禁止建设生产和使用高VOCs含量的溶剂型涂料、油墨、胶粘剂等项目。4.国电邯郸热电股份有限公司按“退后十”方案中要求执行。</w:t>
            </w:r>
          </w:p>
        </w:tc>
      </w:tr>
      <w:tr w14:paraId="160F0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503" w:hRule="atLeast"/>
          <w:jc w:val="center"/>
        </w:trPr>
        <w:tc>
          <w:tcPr>
            <w:tcW w:w="595" w:type="dxa"/>
            <w:vMerge w:val="continue"/>
            <w:noWrap w:val="0"/>
            <w:vAlign w:val="center"/>
          </w:tcPr>
          <w:p w14:paraId="45B47A1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4FC3158">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E398E66">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A3F1A2D">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28D20CAA">
            <w:pPr>
              <w:widowControl/>
              <w:spacing w:line="0" w:lineRule="atLeast"/>
              <w:jc w:val="center"/>
              <w:rPr>
                <w:rFonts w:ascii="仿宋" w:hAnsi="仿宋" w:eastAsia="仿宋" w:cs="仿宋"/>
                <w:bCs/>
                <w:spacing w:val="-10"/>
                <w:kern w:val="0"/>
                <w:sz w:val="24"/>
              </w:rPr>
            </w:pPr>
          </w:p>
        </w:tc>
        <w:tc>
          <w:tcPr>
            <w:tcW w:w="1005" w:type="dxa"/>
            <w:noWrap w:val="0"/>
            <w:vAlign w:val="center"/>
          </w:tcPr>
          <w:p w14:paraId="0E5A6A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63F2286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挥发性有机物排放满足《工业企业挥发性有机物排放控制标准》(DB13/2322-2016)和《挥发性有机物无组织排放控制标准》(GB37822-2019)中相应排放限值要求。2.印刷工业污染防治措施按照《印刷工业污染防治可行技术指南》(HJ1089-2020)和《关于印发&lt;河北省重点行业挥发性有机物污染控制技术指引&gt;》(冀环大气〔2019〕501号)中相应要求执行。3.全面加强原辅材料源头替代，从源头减少VOCs产生。涉VOCs重点企业全面执行《挥发性有机物无组织排放控制标准》(GB37822-2019)。选择适宜的废气治理工艺，对VOCs污染源进行有效处理。4.加快完善区域污水管网建设，提高污水收集率，严禁生活污水不经处理直接外排。5.现有及新（改、扩）建向环境水体直接排放污水的排污单位满足《子牙河流域水污染物排放标准》（DB13/2796-2018)相应排放限值要求。</w:t>
            </w:r>
          </w:p>
        </w:tc>
      </w:tr>
      <w:tr w14:paraId="21769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88" w:hRule="atLeast"/>
          <w:jc w:val="center"/>
        </w:trPr>
        <w:tc>
          <w:tcPr>
            <w:tcW w:w="595" w:type="dxa"/>
            <w:vMerge w:val="continue"/>
            <w:noWrap w:val="0"/>
            <w:vAlign w:val="center"/>
          </w:tcPr>
          <w:p w14:paraId="17DBB12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ECAAAA">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3DC818FC">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4D997CE">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018F8CCC">
            <w:pPr>
              <w:widowControl/>
              <w:spacing w:line="0" w:lineRule="atLeast"/>
              <w:jc w:val="center"/>
              <w:rPr>
                <w:rFonts w:ascii="仿宋" w:hAnsi="仿宋" w:eastAsia="仿宋" w:cs="仿宋"/>
                <w:bCs/>
                <w:spacing w:val="-10"/>
                <w:kern w:val="0"/>
                <w:sz w:val="24"/>
              </w:rPr>
            </w:pPr>
          </w:p>
        </w:tc>
        <w:tc>
          <w:tcPr>
            <w:tcW w:w="1005" w:type="dxa"/>
            <w:noWrap w:val="0"/>
            <w:vAlign w:val="center"/>
          </w:tcPr>
          <w:p w14:paraId="039239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top"/>
          </w:tcPr>
          <w:p w14:paraId="4EE1AACF">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234D1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7" w:hRule="atLeast"/>
          <w:jc w:val="center"/>
        </w:trPr>
        <w:tc>
          <w:tcPr>
            <w:tcW w:w="595" w:type="dxa"/>
            <w:vMerge w:val="continue"/>
            <w:noWrap w:val="0"/>
            <w:vAlign w:val="center"/>
          </w:tcPr>
          <w:p w14:paraId="52909CC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319B7E1">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0B6ED4F3">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189CF75">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248D221F">
            <w:pPr>
              <w:widowControl/>
              <w:spacing w:line="0" w:lineRule="atLeast"/>
              <w:jc w:val="center"/>
              <w:rPr>
                <w:rFonts w:ascii="仿宋" w:hAnsi="仿宋" w:eastAsia="仿宋" w:cs="仿宋"/>
                <w:bCs/>
                <w:spacing w:val="-10"/>
                <w:kern w:val="0"/>
                <w:sz w:val="24"/>
              </w:rPr>
            </w:pPr>
          </w:p>
        </w:tc>
        <w:tc>
          <w:tcPr>
            <w:tcW w:w="1005" w:type="dxa"/>
            <w:noWrap w:val="0"/>
            <w:vAlign w:val="center"/>
          </w:tcPr>
          <w:p w14:paraId="332C651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D63F51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2B668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9931E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ZH13040320018</w:t>
            </w:r>
          </w:p>
        </w:tc>
        <w:tc>
          <w:tcPr>
            <w:tcW w:w="567" w:type="dxa"/>
            <w:vMerge w:val="restart"/>
            <w:noWrap w:val="0"/>
            <w:vAlign w:val="center"/>
          </w:tcPr>
          <w:p w14:paraId="58764E8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3E472D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黄粱梦镇</w:t>
            </w:r>
          </w:p>
        </w:tc>
        <w:tc>
          <w:tcPr>
            <w:tcW w:w="731" w:type="dxa"/>
            <w:vMerge w:val="restart"/>
            <w:noWrap w:val="0"/>
            <w:vAlign w:val="center"/>
          </w:tcPr>
          <w:p w14:paraId="0BA603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00" w:type="dxa"/>
            <w:vMerge w:val="restart"/>
            <w:noWrap w:val="0"/>
            <w:vAlign w:val="center"/>
          </w:tcPr>
          <w:p w14:paraId="13784B5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大气环境布局敏感重点管控区、水环境城镇生活污染重点管控区、高污染燃料禁燃区</w:t>
            </w:r>
          </w:p>
        </w:tc>
        <w:tc>
          <w:tcPr>
            <w:tcW w:w="1005" w:type="dxa"/>
            <w:noWrap w:val="0"/>
            <w:vAlign w:val="center"/>
          </w:tcPr>
          <w:p w14:paraId="09F257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3CFCFF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40081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0CEFB1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9E1AF6E">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199AD75">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2A3F597B">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3E539859">
            <w:pPr>
              <w:widowControl/>
              <w:spacing w:line="0" w:lineRule="atLeast"/>
              <w:jc w:val="center"/>
              <w:rPr>
                <w:rFonts w:ascii="仿宋" w:hAnsi="仿宋" w:eastAsia="仿宋" w:cs="仿宋"/>
                <w:bCs/>
                <w:spacing w:val="-10"/>
                <w:kern w:val="0"/>
                <w:sz w:val="24"/>
              </w:rPr>
            </w:pPr>
          </w:p>
        </w:tc>
        <w:tc>
          <w:tcPr>
            <w:tcW w:w="1005" w:type="dxa"/>
            <w:noWrap w:val="0"/>
            <w:vAlign w:val="center"/>
          </w:tcPr>
          <w:p w14:paraId="6DABE2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7A4ABBB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67D08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117229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2DBDC2C">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317CBB95">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D6FB376">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1FFD8FCF">
            <w:pPr>
              <w:widowControl/>
              <w:spacing w:line="0" w:lineRule="atLeast"/>
              <w:jc w:val="center"/>
              <w:rPr>
                <w:rFonts w:ascii="仿宋" w:hAnsi="仿宋" w:eastAsia="仿宋" w:cs="仿宋"/>
                <w:bCs/>
                <w:spacing w:val="-10"/>
                <w:kern w:val="0"/>
                <w:sz w:val="24"/>
              </w:rPr>
            </w:pPr>
          </w:p>
        </w:tc>
        <w:tc>
          <w:tcPr>
            <w:tcW w:w="1005" w:type="dxa"/>
            <w:noWrap w:val="0"/>
            <w:vAlign w:val="center"/>
          </w:tcPr>
          <w:p w14:paraId="601B38C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18D6CFB">
            <w:pPr>
              <w:widowControl/>
              <w:spacing w:line="0" w:lineRule="atLeast"/>
              <w:ind w:firstLine="442" w:firstLineChars="200"/>
              <w:rPr>
                <w:rFonts w:ascii="仿宋" w:hAnsi="仿宋" w:eastAsia="仿宋" w:cs="仿宋"/>
                <w:b/>
                <w:spacing w:val="-10"/>
                <w:kern w:val="0"/>
                <w:sz w:val="24"/>
              </w:rPr>
            </w:pPr>
            <w:r>
              <w:rPr>
                <w:rFonts w:hint="eastAsia" w:ascii="仿宋" w:hAnsi="仿宋" w:eastAsia="仿宋" w:cs="仿宋"/>
                <w:b/>
                <w:spacing w:val="-10"/>
                <w:kern w:val="0"/>
                <w:sz w:val="24"/>
              </w:rPr>
              <w:t>—</w:t>
            </w:r>
          </w:p>
        </w:tc>
      </w:tr>
      <w:tr w14:paraId="290AF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7DD77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E7D32C4">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518F7AAF">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786DC4AF">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362394EF">
            <w:pPr>
              <w:widowControl/>
              <w:spacing w:line="0" w:lineRule="atLeast"/>
              <w:jc w:val="center"/>
              <w:rPr>
                <w:rFonts w:ascii="仿宋" w:hAnsi="仿宋" w:eastAsia="仿宋" w:cs="仿宋"/>
                <w:bCs/>
                <w:spacing w:val="-10"/>
                <w:kern w:val="0"/>
                <w:sz w:val="24"/>
              </w:rPr>
            </w:pPr>
          </w:p>
        </w:tc>
        <w:tc>
          <w:tcPr>
            <w:tcW w:w="1005" w:type="dxa"/>
            <w:noWrap w:val="0"/>
            <w:vAlign w:val="center"/>
          </w:tcPr>
          <w:p w14:paraId="158C33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69A56B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44586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25" w:hRule="atLeast"/>
          <w:jc w:val="center"/>
        </w:trPr>
        <w:tc>
          <w:tcPr>
            <w:tcW w:w="595" w:type="dxa"/>
            <w:vMerge w:val="restart"/>
            <w:noWrap w:val="0"/>
            <w:vAlign w:val="center"/>
          </w:tcPr>
          <w:p w14:paraId="1F0935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ZH13040320019</w:t>
            </w:r>
          </w:p>
        </w:tc>
        <w:tc>
          <w:tcPr>
            <w:tcW w:w="567" w:type="dxa"/>
            <w:vMerge w:val="restart"/>
            <w:noWrap w:val="0"/>
            <w:vAlign w:val="center"/>
          </w:tcPr>
          <w:p w14:paraId="187029C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7B68D97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三陵乡</w:t>
            </w:r>
          </w:p>
        </w:tc>
        <w:tc>
          <w:tcPr>
            <w:tcW w:w="731" w:type="dxa"/>
            <w:vMerge w:val="restart"/>
            <w:noWrap w:val="0"/>
            <w:vAlign w:val="center"/>
          </w:tcPr>
          <w:p w14:paraId="1E365E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00" w:type="dxa"/>
            <w:vMerge w:val="restart"/>
            <w:noWrap w:val="0"/>
            <w:vAlign w:val="center"/>
          </w:tcPr>
          <w:p w14:paraId="362B68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大气环境高排放重点管控区、水环境工业污染重点管控区、邯郸丛台产业新城开发区西区</w:t>
            </w:r>
          </w:p>
        </w:tc>
        <w:tc>
          <w:tcPr>
            <w:tcW w:w="1005" w:type="dxa"/>
            <w:noWrap w:val="0"/>
            <w:vAlign w:val="center"/>
          </w:tcPr>
          <w:p w14:paraId="2FF2EB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197CDFD">
            <w:pPr>
              <w:widowControl/>
              <w:spacing w:line="0" w:lineRule="atLeast"/>
              <w:ind w:firstLine="460" w:firstLineChars="200"/>
              <w:rPr>
                <w:rFonts w:ascii="仿宋" w:hAnsi="仿宋" w:eastAsia="仿宋" w:cs="仿宋"/>
                <w:bCs/>
                <w:spacing w:val="-10"/>
                <w:kern w:val="0"/>
                <w:sz w:val="24"/>
              </w:rPr>
            </w:pPr>
            <w:r>
              <w:rPr>
                <w:rFonts w:hint="eastAsia" w:ascii="仿宋" w:hAnsi="仿宋" w:eastAsia="仿宋" w:cs="仿宋"/>
                <w:color w:val="auto"/>
                <w:spacing w:val="-10"/>
                <w:sz w:val="25"/>
                <w:szCs w:val="25"/>
                <w:lang w:eastAsia="zh-CN"/>
              </w:rPr>
              <w:t>禁止发展的产业为：能源资源消耗大，环境污染严重，可能对环境、其他产业造成恶劣影响的产业；污染严重，破坏自然生态损害人体健康又无治理技术或难治理的产业；严格落实国家、河北省及邯郸市最新产业目录准入要求；严格落实最新规划环评及其审查意见制定的环境准入要求。</w:t>
            </w:r>
          </w:p>
        </w:tc>
      </w:tr>
      <w:tr w14:paraId="27293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3E5E5F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B9780C5">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48E3CAD1">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F125787">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3EE1589B">
            <w:pPr>
              <w:widowControl/>
              <w:spacing w:line="0" w:lineRule="atLeast"/>
              <w:jc w:val="center"/>
              <w:rPr>
                <w:rFonts w:ascii="仿宋" w:hAnsi="仿宋" w:eastAsia="仿宋" w:cs="仿宋"/>
                <w:bCs/>
                <w:spacing w:val="-10"/>
                <w:kern w:val="0"/>
                <w:sz w:val="24"/>
              </w:rPr>
            </w:pPr>
          </w:p>
        </w:tc>
        <w:tc>
          <w:tcPr>
            <w:tcW w:w="1005" w:type="dxa"/>
            <w:noWrap w:val="0"/>
            <w:vAlign w:val="center"/>
          </w:tcPr>
          <w:p w14:paraId="35690E8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5F82CE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1、PM</w:t>
            </w:r>
            <w:r>
              <w:rPr>
                <w:rFonts w:hint="eastAsia" w:ascii="仿宋" w:hAnsi="仿宋" w:eastAsia="仿宋" w:cs="仿宋"/>
                <w:bCs/>
                <w:spacing w:val="-10"/>
                <w:kern w:val="0"/>
                <w:sz w:val="24"/>
                <w:vertAlign w:val="subscript"/>
              </w:rPr>
              <w:t xml:space="preserve">2.5 </w:t>
            </w:r>
            <w:r>
              <w:rPr>
                <w:rFonts w:hint="eastAsia" w:ascii="仿宋" w:hAnsi="仿宋" w:eastAsia="仿宋" w:cs="仿宋"/>
                <w:bCs/>
                <w:spacing w:val="-10"/>
                <w:kern w:val="0"/>
                <w:sz w:val="24"/>
              </w:rPr>
              <w:t>年均浓度达标之前，颗粒物需进行 2 倍削减替代。2、单位工业增加值废水排放量 0.44t/万元。3、涉 VOCs 排放工业企业污染物排行应达到《工业企业挥发性有机物排放控制标准》（DB13/2322-2016）及《挥发性有机物无组织排放控制标准》（GB37822-2019）相关排放标准要求。</w:t>
            </w:r>
          </w:p>
        </w:tc>
      </w:tr>
      <w:tr w14:paraId="4D54D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AE5E8A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9859B1E">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121005DC">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0E248498">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46BDC13B">
            <w:pPr>
              <w:widowControl/>
              <w:spacing w:line="0" w:lineRule="atLeast"/>
              <w:jc w:val="center"/>
              <w:rPr>
                <w:rFonts w:ascii="仿宋" w:hAnsi="仿宋" w:eastAsia="仿宋" w:cs="仿宋"/>
                <w:bCs/>
                <w:spacing w:val="-10"/>
                <w:kern w:val="0"/>
                <w:sz w:val="24"/>
              </w:rPr>
            </w:pPr>
          </w:p>
        </w:tc>
        <w:tc>
          <w:tcPr>
            <w:tcW w:w="1005" w:type="dxa"/>
            <w:noWrap w:val="0"/>
            <w:vAlign w:val="center"/>
          </w:tcPr>
          <w:p w14:paraId="3E7E7EA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037D01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严格落实规划环评及其批复文件制定的环境风险防范措施。2、建立有效的事故风险防范体系，使开发区建设和环境保护协调发展。入区企业应认真贯彻落实《中华人民共和国安全生产法》、《中华人民共和国消防法》等法律、法规。3、入区企业应制定岗位责任制度，杜绝污染事故发生，对可能发生泄漏及火灾事故的涉危物料设置收集、处理系统，防止污染物不经处理超标外排。4、入区企业应加强对管理人员及生产人员安全教育培训，同时储备个人防护设施及堵漏器材。</w:t>
            </w:r>
          </w:p>
        </w:tc>
      </w:tr>
      <w:tr w14:paraId="62EB0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58F402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A7675A1">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3DB85CEF">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8430E7E">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04D97AD2">
            <w:pPr>
              <w:widowControl/>
              <w:spacing w:line="0" w:lineRule="atLeast"/>
              <w:jc w:val="center"/>
              <w:rPr>
                <w:rFonts w:ascii="仿宋" w:hAnsi="仿宋" w:eastAsia="仿宋" w:cs="仿宋"/>
                <w:bCs/>
                <w:spacing w:val="-10"/>
                <w:kern w:val="0"/>
                <w:sz w:val="24"/>
              </w:rPr>
            </w:pPr>
          </w:p>
        </w:tc>
        <w:tc>
          <w:tcPr>
            <w:tcW w:w="1005" w:type="dxa"/>
            <w:noWrap w:val="0"/>
            <w:vAlign w:val="center"/>
          </w:tcPr>
          <w:p w14:paraId="456EC13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D8A4CD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单位工业增加值能耗 0.08tec/万元，单位工业增加值新鲜水耗 6m</w:t>
            </w:r>
            <w:r>
              <w:rPr>
                <w:rFonts w:hint="eastAsia" w:ascii="仿宋" w:hAnsi="仿宋" w:eastAsia="仿宋" w:cs="仿宋"/>
                <w:bCs/>
                <w:spacing w:val="-10"/>
                <w:kern w:val="0"/>
                <w:sz w:val="24"/>
                <w:vertAlign w:val="superscript"/>
              </w:rPr>
              <w:t>3</w:t>
            </w:r>
            <w:r>
              <w:rPr>
                <w:rFonts w:hint="eastAsia" w:ascii="仿宋" w:hAnsi="仿宋" w:eastAsia="仿宋" w:cs="仿宋"/>
                <w:bCs/>
                <w:spacing w:val="-10"/>
                <w:kern w:val="0"/>
                <w:sz w:val="24"/>
              </w:rPr>
              <w:t>/万元，再生水回用率 62.4%。工业污水集中处理率 100%，危险废物安全处理处置率 100%，工业固体废弃物综合利用率 70%。</w:t>
            </w:r>
          </w:p>
        </w:tc>
      </w:tr>
      <w:tr w14:paraId="7EE48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D4603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ZH13040320020</w:t>
            </w:r>
          </w:p>
        </w:tc>
        <w:tc>
          <w:tcPr>
            <w:tcW w:w="567" w:type="dxa"/>
            <w:vMerge w:val="restart"/>
            <w:noWrap w:val="0"/>
            <w:vAlign w:val="center"/>
          </w:tcPr>
          <w:p w14:paraId="649C03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丛台区</w:t>
            </w:r>
          </w:p>
        </w:tc>
        <w:tc>
          <w:tcPr>
            <w:tcW w:w="850" w:type="dxa"/>
            <w:vMerge w:val="restart"/>
            <w:noWrap w:val="0"/>
            <w:vAlign w:val="center"/>
          </w:tcPr>
          <w:p w14:paraId="1DB7FFB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黄粱梦镇</w:t>
            </w:r>
          </w:p>
        </w:tc>
        <w:tc>
          <w:tcPr>
            <w:tcW w:w="731" w:type="dxa"/>
            <w:vMerge w:val="restart"/>
            <w:noWrap w:val="0"/>
            <w:vAlign w:val="center"/>
          </w:tcPr>
          <w:p w14:paraId="30C593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00" w:type="dxa"/>
            <w:vMerge w:val="restart"/>
            <w:noWrap w:val="0"/>
            <w:vAlign w:val="center"/>
          </w:tcPr>
          <w:p w14:paraId="15CDE8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大气环境高排放重点管控区、水环境工业污染重点管控区、邯郸丛台产业新城开发区东区、高污染燃料禁燃区</w:t>
            </w:r>
          </w:p>
        </w:tc>
        <w:tc>
          <w:tcPr>
            <w:tcW w:w="1005" w:type="dxa"/>
            <w:noWrap w:val="0"/>
            <w:vAlign w:val="center"/>
          </w:tcPr>
          <w:p w14:paraId="2BBB0FB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E3B9326">
            <w:pPr>
              <w:widowControl/>
              <w:spacing w:line="0" w:lineRule="atLeast"/>
              <w:ind w:firstLine="460" w:firstLineChars="200"/>
              <w:rPr>
                <w:rFonts w:ascii="仿宋" w:hAnsi="仿宋" w:eastAsia="仿宋" w:cs="仿宋"/>
                <w:bCs/>
                <w:spacing w:val="-10"/>
                <w:kern w:val="0"/>
                <w:sz w:val="24"/>
              </w:rPr>
            </w:pPr>
            <w:r>
              <w:rPr>
                <w:rFonts w:hint="eastAsia" w:ascii="仿宋" w:hAnsi="仿宋" w:eastAsia="仿宋" w:cs="仿宋"/>
                <w:color w:val="auto"/>
                <w:spacing w:val="-10"/>
                <w:sz w:val="25"/>
                <w:szCs w:val="25"/>
                <w:lang w:eastAsia="zh-CN"/>
              </w:rPr>
              <w:t>禁止发展的产业为：能源资源消耗大，环境污染严重，可能对环境、其他产业造成恶劣影响的产业；污染严重，破坏自然生态损害人体健康又无治理技术或难治理的产业；严格落实国家、河北省及邯郸市最新产业目录准入要求；严格落实最新规划环评及其审查意见制定的环境准入要求。</w:t>
            </w:r>
          </w:p>
        </w:tc>
      </w:tr>
      <w:tr w14:paraId="42A8E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8DF8C6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A215F46">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61990336">
            <w:pPr>
              <w:widowControl/>
              <w:spacing w:line="0" w:lineRule="atLeast"/>
              <w:rPr>
                <w:rFonts w:ascii="仿宋" w:hAnsi="仿宋" w:eastAsia="仿宋" w:cs="仿宋"/>
                <w:bCs/>
                <w:spacing w:val="-10"/>
                <w:kern w:val="0"/>
                <w:sz w:val="24"/>
              </w:rPr>
            </w:pPr>
          </w:p>
        </w:tc>
        <w:tc>
          <w:tcPr>
            <w:tcW w:w="731" w:type="dxa"/>
            <w:vMerge w:val="continue"/>
            <w:noWrap w:val="0"/>
            <w:vAlign w:val="center"/>
          </w:tcPr>
          <w:p w14:paraId="3349E987">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71A69D66">
            <w:pPr>
              <w:widowControl/>
              <w:spacing w:line="0" w:lineRule="atLeast"/>
              <w:jc w:val="center"/>
              <w:rPr>
                <w:rFonts w:ascii="仿宋" w:hAnsi="仿宋" w:eastAsia="仿宋" w:cs="仿宋"/>
                <w:bCs/>
                <w:spacing w:val="-10"/>
                <w:kern w:val="0"/>
                <w:sz w:val="24"/>
              </w:rPr>
            </w:pPr>
          </w:p>
        </w:tc>
        <w:tc>
          <w:tcPr>
            <w:tcW w:w="1005" w:type="dxa"/>
            <w:noWrap w:val="0"/>
            <w:vAlign w:val="center"/>
          </w:tcPr>
          <w:p w14:paraId="64A24C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3C007A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1、PM</w:t>
            </w:r>
            <w:r>
              <w:rPr>
                <w:rFonts w:hint="eastAsia" w:ascii="仿宋" w:hAnsi="仿宋" w:eastAsia="仿宋" w:cs="仿宋"/>
                <w:bCs/>
                <w:spacing w:val="-10"/>
                <w:kern w:val="0"/>
                <w:sz w:val="24"/>
                <w:vertAlign w:val="subscript"/>
              </w:rPr>
              <w:t xml:space="preserve">2.5 </w:t>
            </w:r>
            <w:r>
              <w:rPr>
                <w:rFonts w:hint="eastAsia" w:ascii="仿宋" w:hAnsi="仿宋" w:eastAsia="仿宋" w:cs="仿宋"/>
                <w:bCs/>
                <w:spacing w:val="-10"/>
                <w:kern w:val="0"/>
                <w:sz w:val="24"/>
              </w:rPr>
              <w:t>年均浓度达标之前，颗粒物需进行 2 倍削减替代。2、单位工业增加值废水排放量 0.44t/万元。3、涉 VOCs 排放工业企业污染物排行应达到《工业企业挥发性有机物排放控制标准》（DB13/2322-2016）及《挥发性有机物无组织排放控制标准》（GB37822-2019）相关排放标准要求。</w:t>
            </w:r>
          </w:p>
        </w:tc>
      </w:tr>
      <w:tr w14:paraId="61EF9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CE02D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3E4F0E1">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0E0537AC">
            <w:pPr>
              <w:widowControl/>
              <w:spacing w:line="0" w:lineRule="atLeast"/>
              <w:rPr>
                <w:rFonts w:ascii="仿宋" w:hAnsi="仿宋" w:eastAsia="仿宋" w:cs="仿宋"/>
                <w:bCs/>
                <w:spacing w:val="-10"/>
                <w:kern w:val="0"/>
                <w:sz w:val="24"/>
              </w:rPr>
            </w:pPr>
          </w:p>
        </w:tc>
        <w:tc>
          <w:tcPr>
            <w:tcW w:w="731" w:type="dxa"/>
            <w:vMerge w:val="continue"/>
            <w:noWrap w:val="0"/>
            <w:vAlign w:val="center"/>
          </w:tcPr>
          <w:p w14:paraId="57903458">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0321CBAC">
            <w:pPr>
              <w:widowControl/>
              <w:spacing w:line="0" w:lineRule="atLeast"/>
              <w:jc w:val="center"/>
              <w:rPr>
                <w:rFonts w:ascii="仿宋" w:hAnsi="仿宋" w:eastAsia="仿宋" w:cs="仿宋"/>
                <w:bCs/>
                <w:spacing w:val="-10"/>
                <w:kern w:val="0"/>
                <w:sz w:val="24"/>
              </w:rPr>
            </w:pPr>
          </w:p>
        </w:tc>
        <w:tc>
          <w:tcPr>
            <w:tcW w:w="1005" w:type="dxa"/>
            <w:noWrap w:val="0"/>
            <w:vAlign w:val="center"/>
          </w:tcPr>
          <w:p w14:paraId="229696E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8BD5F8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严格落实规划环评及其批复文件制定的环境风险防范措施。2、建立有效的事故风险防范体系，使开发区建设和环境保护协调发展。入区企业应认真贯彻落实《中华人民共和国安全生产法》、《中华人民共和国消防法》等法律、法规。3、入区企业应制定岗位责任制度，杜绝污染事故发生，对可能发生泄漏及火灾事故的涉危物料设置收集、处理系统，防止污染物不经处理超标外排。4、入区企业应加强对管理人员及生产人员安全教育培训，同时储备个人防护设施及堵漏器材。</w:t>
            </w:r>
          </w:p>
        </w:tc>
      </w:tr>
      <w:tr w14:paraId="16FF9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5CB36C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F91B51">
            <w:pPr>
              <w:widowControl/>
              <w:spacing w:line="0" w:lineRule="atLeast"/>
              <w:jc w:val="center"/>
              <w:rPr>
                <w:rFonts w:ascii="仿宋" w:hAnsi="仿宋" w:eastAsia="仿宋" w:cs="仿宋"/>
                <w:bCs/>
                <w:spacing w:val="-10"/>
                <w:kern w:val="0"/>
                <w:sz w:val="24"/>
              </w:rPr>
            </w:pPr>
          </w:p>
        </w:tc>
        <w:tc>
          <w:tcPr>
            <w:tcW w:w="850" w:type="dxa"/>
            <w:vMerge w:val="continue"/>
            <w:noWrap w:val="0"/>
            <w:vAlign w:val="center"/>
          </w:tcPr>
          <w:p w14:paraId="72DE71E3">
            <w:pPr>
              <w:widowControl/>
              <w:spacing w:line="0" w:lineRule="atLeast"/>
              <w:rPr>
                <w:rFonts w:ascii="仿宋" w:hAnsi="仿宋" w:eastAsia="仿宋" w:cs="仿宋"/>
                <w:bCs/>
                <w:spacing w:val="-10"/>
                <w:kern w:val="0"/>
                <w:sz w:val="24"/>
              </w:rPr>
            </w:pPr>
          </w:p>
        </w:tc>
        <w:tc>
          <w:tcPr>
            <w:tcW w:w="731" w:type="dxa"/>
            <w:vMerge w:val="continue"/>
            <w:noWrap w:val="0"/>
            <w:vAlign w:val="center"/>
          </w:tcPr>
          <w:p w14:paraId="618C6C7A">
            <w:pPr>
              <w:widowControl/>
              <w:spacing w:line="0" w:lineRule="atLeast"/>
              <w:jc w:val="center"/>
              <w:rPr>
                <w:rFonts w:ascii="仿宋" w:hAnsi="仿宋" w:eastAsia="仿宋" w:cs="仿宋"/>
                <w:bCs/>
                <w:spacing w:val="-10"/>
                <w:kern w:val="0"/>
                <w:sz w:val="24"/>
              </w:rPr>
            </w:pPr>
          </w:p>
        </w:tc>
        <w:tc>
          <w:tcPr>
            <w:tcW w:w="1100" w:type="dxa"/>
            <w:vMerge w:val="continue"/>
            <w:noWrap w:val="0"/>
            <w:vAlign w:val="center"/>
          </w:tcPr>
          <w:p w14:paraId="01D883A0">
            <w:pPr>
              <w:widowControl/>
              <w:spacing w:line="0" w:lineRule="atLeast"/>
              <w:jc w:val="center"/>
              <w:rPr>
                <w:rFonts w:ascii="仿宋" w:hAnsi="仿宋" w:eastAsia="仿宋" w:cs="仿宋"/>
                <w:bCs/>
                <w:spacing w:val="-10"/>
                <w:kern w:val="0"/>
                <w:sz w:val="24"/>
              </w:rPr>
            </w:pPr>
          </w:p>
        </w:tc>
        <w:tc>
          <w:tcPr>
            <w:tcW w:w="1005" w:type="dxa"/>
            <w:noWrap w:val="0"/>
            <w:vAlign w:val="center"/>
          </w:tcPr>
          <w:p w14:paraId="605A50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40DDDF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1.单位工业增加值能耗 0.08tec/万元，单位工业增加值新鲜水耗 6m</w:t>
            </w:r>
            <w:r>
              <w:rPr>
                <w:rFonts w:hint="eastAsia" w:ascii="仿宋" w:hAnsi="仿宋" w:eastAsia="仿宋" w:cs="仿宋"/>
                <w:bCs/>
                <w:spacing w:val="-10"/>
                <w:kern w:val="0"/>
                <w:sz w:val="24"/>
                <w:vertAlign w:val="superscript"/>
              </w:rPr>
              <w:t>3</w:t>
            </w:r>
            <w:r>
              <w:rPr>
                <w:rFonts w:hint="eastAsia" w:ascii="仿宋" w:hAnsi="仿宋" w:eastAsia="仿宋" w:cs="仿宋"/>
                <w:bCs/>
                <w:spacing w:val="-10"/>
                <w:kern w:val="0"/>
                <w:sz w:val="24"/>
              </w:rPr>
              <w:t>/万元，再生水回用率 62.4%。工业污水集中处理率 100%，危险废物安全处理处置率 100%，工业固体废弃物综合利用率 70%。2.禁燃区内严格按照相应的高污染燃料禁燃区的通告要求执行。</w:t>
            </w:r>
          </w:p>
        </w:tc>
      </w:tr>
    </w:tbl>
    <w:p w14:paraId="07E52F50">
      <w:pPr>
        <w:rPr>
          <w:rFonts w:ascii="仿宋" w:hAnsi="仿宋" w:eastAsia="仿宋" w:cs="仿宋"/>
          <w:b/>
          <w:sz w:val="28"/>
          <w:szCs w:val="18"/>
        </w:rPr>
      </w:pPr>
      <w:r>
        <w:rPr>
          <w:rFonts w:hint="eastAsia" w:ascii="仿宋" w:hAnsi="仿宋" w:eastAsia="仿宋" w:cs="仿宋"/>
          <w:b/>
          <w:sz w:val="28"/>
          <w:szCs w:val="18"/>
        </w:rPr>
        <w:br w:type="page"/>
      </w:r>
    </w:p>
    <w:p w14:paraId="5714F4D0">
      <w:pPr>
        <w:pStyle w:val="10"/>
        <w:numPr>
          <w:ilvl w:val="1"/>
          <w:numId w:val="0"/>
        </w:numPr>
        <w:spacing w:beforeLines="50"/>
        <w:ind w:firstLine="640" w:firstLineChars="200"/>
        <w:outlineLvl w:val="1"/>
        <w:rPr>
          <w:rFonts w:ascii="仿宋" w:hAnsi="仿宋" w:eastAsia="仿宋" w:cs="仿宋"/>
          <w:bCs/>
          <w:sz w:val="32"/>
          <w:szCs w:val="32"/>
        </w:rPr>
      </w:pPr>
      <w:r>
        <w:rPr>
          <w:rFonts w:hint="eastAsia" w:ascii="仿宋" w:hAnsi="仿宋" w:eastAsia="仿宋" w:cs="仿宋"/>
          <w:bCs/>
          <w:sz w:val="32"/>
          <w:szCs w:val="32"/>
        </w:rPr>
        <w:t>（三）复兴区生态环境准入清单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898"/>
        <w:gridCol w:w="763"/>
        <w:gridCol w:w="1033"/>
        <w:gridCol w:w="992"/>
        <w:gridCol w:w="4053"/>
      </w:tblGrid>
      <w:tr w14:paraId="6FFDC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461D91F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05D4825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898" w:type="dxa"/>
            <w:shd w:val="clear" w:color="auto" w:fill="D7D7D7"/>
            <w:noWrap w:val="0"/>
            <w:vAlign w:val="center"/>
          </w:tcPr>
          <w:p w14:paraId="3D54E10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63" w:type="dxa"/>
            <w:shd w:val="clear" w:color="auto" w:fill="D7D7D7"/>
            <w:noWrap w:val="0"/>
            <w:vAlign w:val="center"/>
          </w:tcPr>
          <w:p w14:paraId="374D757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1033" w:type="dxa"/>
            <w:shd w:val="clear" w:color="auto" w:fill="D7D7D7"/>
            <w:noWrap w:val="0"/>
            <w:vAlign w:val="center"/>
          </w:tcPr>
          <w:p w14:paraId="7BA44CB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992" w:type="dxa"/>
            <w:shd w:val="clear" w:color="auto" w:fill="D7D7D7"/>
            <w:noWrap w:val="0"/>
            <w:vAlign w:val="center"/>
          </w:tcPr>
          <w:p w14:paraId="6DF5DB1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57E9FAE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149A6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6C567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ZH13040410019</w:t>
            </w:r>
          </w:p>
        </w:tc>
        <w:tc>
          <w:tcPr>
            <w:tcW w:w="567" w:type="dxa"/>
            <w:vMerge w:val="restart"/>
            <w:noWrap w:val="0"/>
            <w:vAlign w:val="center"/>
          </w:tcPr>
          <w:p w14:paraId="409935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28589B7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石化街道办、户村镇、彭家寨乡、康庄乡</w:t>
            </w:r>
          </w:p>
        </w:tc>
        <w:tc>
          <w:tcPr>
            <w:tcW w:w="763" w:type="dxa"/>
            <w:vMerge w:val="restart"/>
            <w:noWrap w:val="0"/>
            <w:vAlign w:val="center"/>
          </w:tcPr>
          <w:p w14:paraId="1EFA33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33" w:type="dxa"/>
            <w:vMerge w:val="restart"/>
            <w:noWrap w:val="0"/>
            <w:vAlign w:val="center"/>
          </w:tcPr>
          <w:p w14:paraId="1EB2F7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重要引调水通道、南水北调中线</w:t>
            </w:r>
          </w:p>
        </w:tc>
        <w:tc>
          <w:tcPr>
            <w:tcW w:w="992" w:type="dxa"/>
            <w:noWrap w:val="0"/>
            <w:vAlign w:val="center"/>
          </w:tcPr>
          <w:p w14:paraId="48AED5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5F0C62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B9FE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29B8B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2AF4A40">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04CC2A6D">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5109F258">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1B47D7FB">
            <w:pPr>
              <w:widowControl/>
              <w:spacing w:line="0" w:lineRule="atLeast"/>
              <w:jc w:val="center"/>
              <w:rPr>
                <w:rFonts w:ascii="仿宋" w:hAnsi="仿宋" w:eastAsia="仿宋" w:cs="仿宋"/>
                <w:bCs/>
                <w:spacing w:val="-10"/>
                <w:kern w:val="0"/>
                <w:sz w:val="24"/>
              </w:rPr>
            </w:pPr>
          </w:p>
        </w:tc>
        <w:tc>
          <w:tcPr>
            <w:tcW w:w="992" w:type="dxa"/>
            <w:noWrap w:val="0"/>
            <w:vAlign w:val="center"/>
          </w:tcPr>
          <w:p w14:paraId="2FEC698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D230CD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按照《南水北调中线一期工程总干渠河北段饮用水水源保护区划定和完善方案》中相应水源保护区的要求管控。</w:t>
            </w:r>
          </w:p>
        </w:tc>
      </w:tr>
      <w:tr w14:paraId="07A5C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B3071A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506A67">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75D65908">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2B676959">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5B5D28FF">
            <w:pPr>
              <w:widowControl/>
              <w:spacing w:line="0" w:lineRule="atLeast"/>
              <w:jc w:val="center"/>
              <w:rPr>
                <w:rFonts w:ascii="仿宋" w:hAnsi="仿宋" w:eastAsia="仿宋" w:cs="仿宋"/>
                <w:bCs/>
                <w:spacing w:val="-10"/>
                <w:kern w:val="0"/>
                <w:sz w:val="24"/>
              </w:rPr>
            </w:pPr>
          </w:p>
        </w:tc>
        <w:tc>
          <w:tcPr>
            <w:tcW w:w="992" w:type="dxa"/>
            <w:noWrap w:val="0"/>
            <w:vAlign w:val="center"/>
          </w:tcPr>
          <w:p w14:paraId="6D46E7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2D8901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908B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74280B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9E2767E">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47B65768">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7990EE1F">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7C4FB119">
            <w:pPr>
              <w:widowControl/>
              <w:spacing w:line="0" w:lineRule="atLeast"/>
              <w:jc w:val="center"/>
              <w:rPr>
                <w:rFonts w:ascii="仿宋" w:hAnsi="仿宋" w:eastAsia="仿宋" w:cs="仿宋"/>
                <w:bCs/>
                <w:spacing w:val="-10"/>
                <w:kern w:val="0"/>
                <w:sz w:val="24"/>
              </w:rPr>
            </w:pPr>
          </w:p>
        </w:tc>
        <w:tc>
          <w:tcPr>
            <w:tcW w:w="992" w:type="dxa"/>
            <w:noWrap w:val="0"/>
            <w:vAlign w:val="center"/>
          </w:tcPr>
          <w:p w14:paraId="32B844C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D5431D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2959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D22BB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ZH13040410020</w:t>
            </w:r>
          </w:p>
        </w:tc>
        <w:tc>
          <w:tcPr>
            <w:tcW w:w="567" w:type="dxa"/>
            <w:vMerge w:val="restart"/>
            <w:noWrap w:val="0"/>
            <w:vAlign w:val="center"/>
          </w:tcPr>
          <w:p w14:paraId="6428E9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16D2BD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户村镇、彭家寨乡</w:t>
            </w:r>
          </w:p>
        </w:tc>
        <w:tc>
          <w:tcPr>
            <w:tcW w:w="763" w:type="dxa"/>
            <w:vMerge w:val="restart"/>
            <w:noWrap w:val="0"/>
            <w:vAlign w:val="center"/>
          </w:tcPr>
          <w:p w14:paraId="2F841F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33" w:type="dxa"/>
            <w:vMerge w:val="restart"/>
            <w:noWrap w:val="0"/>
            <w:vAlign w:val="center"/>
          </w:tcPr>
          <w:p w14:paraId="76E073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992" w:type="dxa"/>
            <w:noWrap w:val="0"/>
            <w:vAlign w:val="center"/>
          </w:tcPr>
          <w:p w14:paraId="296C3DE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3E9776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1.满足生态保护红线相关要求。2.满足《中华人民共和国河道管理条例》相关要求。</w:t>
            </w:r>
          </w:p>
        </w:tc>
      </w:tr>
      <w:tr w14:paraId="11A39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821A76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D0E6F59">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2A85E032">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2EB87CDF">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6EC9E90B">
            <w:pPr>
              <w:widowControl/>
              <w:spacing w:line="0" w:lineRule="atLeast"/>
              <w:jc w:val="center"/>
              <w:rPr>
                <w:rFonts w:ascii="仿宋" w:hAnsi="仿宋" w:eastAsia="仿宋" w:cs="仿宋"/>
                <w:bCs/>
                <w:spacing w:val="-10"/>
                <w:kern w:val="0"/>
                <w:sz w:val="24"/>
              </w:rPr>
            </w:pPr>
          </w:p>
        </w:tc>
        <w:tc>
          <w:tcPr>
            <w:tcW w:w="992" w:type="dxa"/>
            <w:noWrap w:val="0"/>
            <w:vAlign w:val="center"/>
          </w:tcPr>
          <w:p w14:paraId="667055B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FF8F25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01061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0C981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4ABCDBF">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23491C53">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502596E">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1E7AF200">
            <w:pPr>
              <w:widowControl/>
              <w:spacing w:line="0" w:lineRule="atLeast"/>
              <w:jc w:val="center"/>
              <w:rPr>
                <w:rFonts w:ascii="仿宋" w:hAnsi="仿宋" w:eastAsia="仿宋" w:cs="仿宋"/>
                <w:bCs/>
                <w:spacing w:val="-10"/>
                <w:kern w:val="0"/>
                <w:sz w:val="24"/>
              </w:rPr>
            </w:pPr>
          </w:p>
        </w:tc>
        <w:tc>
          <w:tcPr>
            <w:tcW w:w="992" w:type="dxa"/>
            <w:noWrap w:val="0"/>
            <w:vAlign w:val="center"/>
          </w:tcPr>
          <w:p w14:paraId="79BFC54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059CB1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28985B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28012F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2BB64FB">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154CC8CF">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1EB4A7B1">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0FC5D86C">
            <w:pPr>
              <w:widowControl/>
              <w:spacing w:line="0" w:lineRule="atLeast"/>
              <w:jc w:val="center"/>
              <w:rPr>
                <w:rFonts w:ascii="仿宋" w:hAnsi="仿宋" w:eastAsia="仿宋" w:cs="仿宋"/>
                <w:bCs/>
                <w:spacing w:val="-10"/>
                <w:kern w:val="0"/>
                <w:sz w:val="24"/>
              </w:rPr>
            </w:pPr>
          </w:p>
        </w:tc>
        <w:tc>
          <w:tcPr>
            <w:tcW w:w="992" w:type="dxa"/>
            <w:noWrap w:val="0"/>
            <w:vAlign w:val="center"/>
          </w:tcPr>
          <w:p w14:paraId="12E3D95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48E039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62A60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F14E9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ZH13040420020</w:t>
            </w:r>
          </w:p>
        </w:tc>
        <w:tc>
          <w:tcPr>
            <w:tcW w:w="567" w:type="dxa"/>
            <w:vMerge w:val="restart"/>
            <w:noWrap w:val="0"/>
            <w:vAlign w:val="center"/>
          </w:tcPr>
          <w:p w14:paraId="549E844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5C9AEEB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户村镇、康庄乡</w:t>
            </w:r>
          </w:p>
        </w:tc>
        <w:tc>
          <w:tcPr>
            <w:tcW w:w="763" w:type="dxa"/>
            <w:vMerge w:val="restart"/>
            <w:noWrap w:val="0"/>
            <w:vAlign w:val="center"/>
          </w:tcPr>
          <w:p w14:paraId="02FD253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2434F0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大气环境布局敏感重点管控区、水环境城镇生活污染重点管控区、高污染燃料禁燃区</w:t>
            </w:r>
          </w:p>
        </w:tc>
        <w:tc>
          <w:tcPr>
            <w:tcW w:w="992" w:type="dxa"/>
            <w:noWrap w:val="0"/>
            <w:vAlign w:val="center"/>
          </w:tcPr>
          <w:p w14:paraId="69B458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4DC4CF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新建涉水企业原则上均应建在工业园区内，推动现有工业企业入园。</w:t>
            </w:r>
          </w:p>
        </w:tc>
      </w:tr>
      <w:tr w14:paraId="776A1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64D2C2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2E1A92C">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2E045F8F">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48077D54">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7B287700">
            <w:pPr>
              <w:widowControl/>
              <w:spacing w:line="0" w:lineRule="atLeast"/>
              <w:jc w:val="center"/>
              <w:rPr>
                <w:rFonts w:ascii="仿宋" w:hAnsi="仿宋" w:eastAsia="仿宋" w:cs="仿宋"/>
                <w:bCs/>
                <w:spacing w:val="-10"/>
                <w:kern w:val="0"/>
                <w:sz w:val="24"/>
              </w:rPr>
            </w:pPr>
          </w:p>
        </w:tc>
        <w:tc>
          <w:tcPr>
            <w:tcW w:w="992" w:type="dxa"/>
            <w:noWrap w:val="0"/>
            <w:vAlign w:val="center"/>
          </w:tcPr>
          <w:p w14:paraId="0C3043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3008DB6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砖瓦行业污染物排放满足《砖瓦工业大气污染物排放标准》（GB2962-2013）及修改单中相应排放限值要求。2.冲天炉、玻璃熔窑、以煤和煤矸石为燃料的砖瓦烧结窑、耐火材料焙烧窑(电窑除外)、炭素焙(煅)烧炉(窑)、石灰窑、和精炼炉等，原则上应纳入重点排污单位名录，安装自动监控设施。3.对涉粉状物料十大行业按照“退后十”方案中相应要求管理。4.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5.加快完善区域污水管网建设，提高污水收集率，严禁生活污水不经处理直接外排。6.现有及新（改、扩）建向环境水体直接排放污水的排污单位满足《子牙河流域水污染物排放标准》（DB13/2796-2018)相应排放限值要求。</w:t>
            </w:r>
          </w:p>
        </w:tc>
      </w:tr>
      <w:tr w14:paraId="4F2B8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430C54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59FC075">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4F4537B0">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3A27D6F1">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64B49CDD">
            <w:pPr>
              <w:widowControl/>
              <w:spacing w:line="0" w:lineRule="atLeast"/>
              <w:jc w:val="center"/>
              <w:rPr>
                <w:rFonts w:ascii="仿宋" w:hAnsi="仿宋" w:eastAsia="仿宋" w:cs="仿宋"/>
                <w:bCs/>
                <w:spacing w:val="-10"/>
                <w:kern w:val="0"/>
                <w:sz w:val="24"/>
              </w:rPr>
            </w:pPr>
          </w:p>
        </w:tc>
        <w:tc>
          <w:tcPr>
            <w:tcW w:w="992" w:type="dxa"/>
            <w:noWrap w:val="0"/>
            <w:vAlign w:val="center"/>
          </w:tcPr>
          <w:p w14:paraId="56CB68C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57351AE5">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确定地下水污染来源和路径，进行污染风险评估，确定修复目标和风险管控目标。</w:t>
            </w:r>
          </w:p>
        </w:tc>
      </w:tr>
      <w:tr w14:paraId="22B1B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C60CC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F643430">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552E1AC6">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1023B27D">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74A14AA0">
            <w:pPr>
              <w:widowControl/>
              <w:spacing w:line="0" w:lineRule="atLeast"/>
              <w:jc w:val="center"/>
              <w:rPr>
                <w:rFonts w:ascii="仿宋" w:hAnsi="仿宋" w:eastAsia="仿宋" w:cs="仿宋"/>
                <w:bCs/>
                <w:spacing w:val="-10"/>
                <w:kern w:val="0"/>
                <w:sz w:val="24"/>
              </w:rPr>
            </w:pPr>
          </w:p>
        </w:tc>
        <w:tc>
          <w:tcPr>
            <w:tcW w:w="992" w:type="dxa"/>
            <w:noWrap w:val="0"/>
            <w:vAlign w:val="center"/>
          </w:tcPr>
          <w:p w14:paraId="726C253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42A07A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禁燃区内严格按照相应的高污染燃料禁燃区的通告要求执行。</w:t>
            </w:r>
          </w:p>
        </w:tc>
      </w:tr>
      <w:tr w14:paraId="46186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B8B3F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ZH13040420021</w:t>
            </w:r>
          </w:p>
        </w:tc>
        <w:tc>
          <w:tcPr>
            <w:tcW w:w="567" w:type="dxa"/>
            <w:vMerge w:val="restart"/>
            <w:noWrap w:val="0"/>
            <w:vAlign w:val="center"/>
          </w:tcPr>
          <w:p w14:paraId="56B584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17D431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化林路街道办、彭家寨乡</w:t>
            </w:r>
          </w:p>
        </w:tc>
        <w:tc>
          <w:tcPr>
            <w:tcW w:w="763" w:type="dxa"/>
            <w:vMerge w:val="restart"/>
            <w:noWrap w:val="0"/>
            <w:vAlign w:val="center"/>
          </w:tcPr>
          <w:p w14:paraId="16E4E2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0ED58C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大气环境布局敏感重点管控区、水环境城镇生活污染重点管控区、高污染燃料禁燃区</w:t>
            </w:r>
          </w:p>
        </w:tc>
        <w:tc>
          <w:tcPr>
            <w:tcW w:w="992" w:type="dxa"/>
            <w:noWrap w:val="0"/>
            <w:vAlign w:val="center"/>
          </w:tcPr>
          <w:p w14:paraId="1D32E4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E874C58">
            <w:pPr>
              <w:widowControl/>
              <w:spacing w:line="0" w:lineRule="atLeast"/>
              <w:ind w:firstLine="440" w:firstLineChars="200"/>
              <w:rPr>
                <w:rFonts w:ascii="仿宋" w:hAnsi="仿宋" w:eastAsia="仿宋" w:cs="仿宋"/>
                <w:sz w:val="24"/>
              </w:rPr>
            </w:pPr>
            <w:r>
              <w:rPr>
                <w:rFonts w:hint="eastAsia" w:ascii="仿宋" w:hAnsi="仿宋" w:eastAsia="仿宋" w:cs="仿宋"/>
                <w:bCs/>
                <w:spacing w:val="-10"/>
                <w:kern w:val="0"/>
                <w:sz w:val="24"/>
              </w:rPr>
              <w:t>1.控制新增产能，鼓励实施等量或减量置换，依托现有耐火材料生产企业，通过联合重组，“退城入园”，开展技术改造，推进节能减排，生产和推广不定形耐火材料，优化产业结构，提高生产集中度。2.世界遗产地、风景名胜区、生态保护区、饮用水水源保护区等需要特别保护的区域和非工业建设规划区不得新建、扩建耐火材料项目。</w:t>
            </w:r>
          </w:p>
        </w:tc>
      </w:tr>
      <w:tr w14:paraId="1AE94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2935BB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E8D6AAF">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12CBACF0">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595A4E94">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13FB6974">
            <w:pPr>
              <w:widowControl/>
              <w:spacing w:line="0" w:lineRule="atLeast"/>
              <w:jc w:val="center"/>
              <w:rPr>
                <w:rFonts w:ascii="仿宋" w:hAnsi="仿宋" w:eastAsia="仿宋" w:cs="仿宋"/>
                <w:bCs/>
                <w:spacing w:val="-10"/>
                <w:kern w:val="0"/>
                <w:sz w:val="24"/>
              </w:rPr>
            </w:pPr>
          </w:p>
        </w:tc>
        <w:tc>
          <w:tcPr>
            <w:tcW w:w="992" w:type="dxa"/>
            <w:noWrap w:val="0"/>
            <w:vAlign w:val="center"/>
          </w:tcPr>
          <w:p w14:paraId="1D923BA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3DB1B98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原料堆场配建围墙和顶盖，破（粉）碎、筛分、均化、输送、成型和成品加工等易产生粉尘的环节，配套除尘装置，防止粉尘无组织排放。含尘气体经处理达标后排放。2.配套建设窑炉烟气除尘、脱硫、脱硝等治理装置。烟气经治理达标后排放。3.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4.新建(含搬迁)燃煤电厂项目全部达到超低排放水平及无组织排放治理要求。5.加快完善区域污水管网建设，提高污水收集率，严禁生活污水不经处理直接外排。6.现有及新（改、扩）建向环境水体直接排放污水的排污单位满足《子牙河流域水污染物排放标准》（DB13/2796-2018)相应排放限值要求。</w:t>
            </w:r>
          </w:p>
        </w:tc>
      </w:tr>
      <w:tr w14:paraId="1FAA0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8ED0D0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976B82F">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0070A154">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6A7AA1D">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49AA8372">
            <w:pPr>
              <w:widowControl/>
              <w:spacing w:line="0" w:lineRule="atLeast"/>
              <w:jc w:val="center"/>
              <w:rPr>
                <w:rFonts w:ascii="仿宋" w:hAnsi="仿宋" w:eastAsia="仿宋" w:cs="仿宋"/>
                <w:bCs/>
                <w:spacing w:val="-10"/>
                <w:kern w:val="0"/>
                <w:sz w:val="24"/>
              </w:rPr>
            </w:pPr>
          </w:p>
        </w:tc>
        <w:tc>
          <w:tcPr>
            <w:tcW w:w="992" w:type="dxa"/>
            <w:noWrap w:val="0"/>
            <w:vAlign w:val="center"/>
          </w:tcPr>
          <w:p w14:paraId="0ABB82D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608352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1.堆存含有重金属的原料和固体废物场所配套建设防渗漏设施。2.建立环境管理体系，制定突发环境事件应急预案。</w:t>
            </w:r>
          </w:p>
        </w:tc>
      </w:tr>
      <w:tr w14:paraId="23CE3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891AD3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37120C3">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55EF6B22">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607B8559">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694D6B62">
            <w:pPr>
              <w:widowControl/>
              <w:spacing w:line="0" w:lineRule="atLeast"/>
              <w:jc w:val="center"/>
              <w:rPr>
                <w:rFonts w:ascii="仿宋" w:hAnsi="仿宋" w:eastAsia="仿宋" w:cs="仿宋"/>
                <w:bCs/>
                <w:spacing w:val="-10"/>
                <w:kern w:val="0"/>
                <w:sz w:val="24"/>
              </w:rPr>
            </w:pPr>
          </w:p>
        </w:tc>
        <w:tc>
          <w:tcPr>
            <w:tcW w:w="992" w:type="dxa"/>
            <w:noWrap w:val="0"/>
            <w:vAlign w:val="center"/>
          </w:tcPr>
          <w:p w14:paraId="095693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339627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586C6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35215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ZH13040420022</w:t>
            </w:r>
          </w:p>
        </w:tc>
        <w:tc>
          <w:tcPr>
            <w:tcW w:w="567" w:type="dxa"/>
            <w:vMerge w:val="restart"/>
            <w:noWrap w:val="0"/>
            <w:vAlign w:val="center"/>
          </w:tcPr>
          <w:p w14:paraId="49D28F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3D8A087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彭家寨乡、铁路大院街道办</w:t>
            </w:r>
          </w:p>
        </w:tc>
        <w:tc>
          <w:tcPr>
            <w:tcW w:w="763" w:type="dxa"/>
            <w:vMerge w:val="restart"/>
            <w:noWrap w:val="0"/>
            <w:vAlign w:val="center"/>
          </w:tcPr>
          <w:p w14:paraId="01559ED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1D7F96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w:t>
            </w:r>
          </w:p>
          <w:p w14:paraId="3980BDE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水环境城镇生活污染重点管控区、高污染燃料禁燃区</w:t>
            </w:r>
          </w:p>
        </w:tc>
        <w:tc>
          <w:tcPr>
            <w:tcW w:w="992" w:type="dxa"/>
            <w:noWrap w:val="0"/>
            <w:vAlign w:val="center"/>
          </w:tcPr>
          <w:p w14:paraId="7CFBA0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0EA5AD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1.新建涉水企业原则上均应建在工业园区内，推动现有工业企业入园。2.河钢集团邯钢公司老区按“退后十”方案中要求执行。</w:t>
            </w:r>
          </w:p>
        </w:tc>
      </w:tr>
      <w:tr w14:paraId="53251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2EF1E5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20CC190">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55D2B871">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40F65B6">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2EF1AB66">
            <w:pPr>
              <w:widowControl/>
              <w:spacing w:line="0" w:lineRule="atLeast"/>
              <w:jc w:val="center"/>
              <w:rPr>
                <w:rFonts w:ascii="仿宋" w:hAnsi="仿宋" w:eastAsia="仿宋" w:cs="仿宋"/>
                <w:bCs/>
                <w:spacing w:val="-10"/>
                <w:kern w:val="0"/>
                <w:sz w:val="24"/>
              </w:rPr>
            </w:pPr>
          </w:p>
        </w:tc>
        <w:tc>
          <w:tcPr>
            <w:tcW w:w="992" w:type="dxa"/>
            <w:noWrap w:val="0"/>
            <w:vAlign w:val="center"/>
          </w:tcPr>
          <w:p w14:paraId="3D194C8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5157F89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河钢集团邯钢公司有组织和无组织排放稳定实现超低排放，实现超低新常态。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5E6FE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E93246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559DD56">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659CF6AE">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C3A505B">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082D0D5D">
            <w:pPr>
              <w:widowControl/>
              <w:spacing w:line="0" w:lineRule="atLeast"/>
              <w:jc w:val="center"/>
              <w:rPr>
                <w:rFonts w:ascii="仿宋" w:hAnsi="仿宋" w:eastAsia="仿宋" w:cs="仿宋"/>
                <w:bCs/>
                <w:spacing w:val="-10"/>
                <w:kern w:val="0"/>
                <w:sz w:val="24"/>
              </w:rPr>
            </w:pPr>
          </w:p>
        </w:tc>
        <w:tc>
          <w:tcPr>
            <w:tcW w:w="992" w:type="dxa"/>
            <w:noWrap w:val="0"/>
            <w:vAlign w:val="center"/>
          </w:tcPr>
          <w:p w14:paraId="6A2EAB7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53D71D1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确定地下水污染来源和路径，进行污染风险评估，确定修复目标和风险管控目标。</w:t>
            </w:r>
          </w:p>
        </w:tc>
      </w:tr>
      <w:tr w14:paraId="4A741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8A7A7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C7B3065">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2DBDD331">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1F60077A">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788D97B0">
            <w:pPr>
              <w:widowControl/>
              <w:spacing w:line="0" w:lineRule="atLeast"/>
              <w:jc w:val="center"/>
              <w:rPr>
                <w:rFonts w:ascii="仿宋" w:hAnsi="仿宋" w:eastAsia="仿宋" w:cs="仿宋"/>
                <w:bCs/>
                <w:spacing w:val="-10"/>
                <w:kern w:val="0"/>
                <w:sz w:val="24"/>
              </w:rPr>
            </w:pPr>
          </w:p>
        </w:tc>
        <w:tc>
          <w:tcPr>
            <w:tcW w:w="992" w:type="dxa"/>
            <w:noWrap w:val="0"/>
            <w:vAlign w:val="center"/>
          </w:tcPr>
          <w:p w14:paraId="79027A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900E36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6B934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36F0BE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ZH13040420023</w:t>
            </w:r>
          </w:p>
        </w:tc>
        <w:tc>
          <w:tcPr>
            <w:tcW w:w="567" w:type="dxa"/>
            <w:vMerge w:val="restart"/>
            <w:noWrap w:val="0"/>
            <w:vAlign w:val="center"/>
          </w:tcPr>
          <w:p w14:paraId="30F78F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340BE2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户村镇、彭家寨乡、康庄乡</w:t>
            </w:r>
          </w:p>
        </w:tc>
        <w:tc>
          <w:tcPr>
            <w:tcW w:w="763" w:type="dxa"/>
            <w:vMerge w:val="restart"/>
            <w:noWrap w:val="0"/>
            <w:vAlign w:val="center"/>
          </w:tcPr>
          <w:p w14:paraId="593BAB0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1E40A7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大气环境高排放重点管控区、水环境工业污染重点管控区、复兴经济开发区、高污染燃料禁燃区</w:t>
            </w:r>
          </w:p>
        </w:tc>
        <w:tc>
          <w:tcPr>
            <w:tcW w:w="992" w:type="dxa"/>
            <w:noWrap w:val="0"/>
            <w:vAlign w:val="center"/>
          </w:tcPr>
          <w:p w14:paraId="452AACF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1DB269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不支持入区的企业包括：不符合开发区产业定位、污染物排放较大的行业；高水耗、高物耗、高能耗的项目；废水含难降解的有机污染物、“三致”污染物及盐份含量较高的项目；废水经预处理达不到污水处理厂接管标准的项目；采用落后的生产工艺或生产设备，不符合国家相关产业政策、达不到规模经济的项目。</w:t>
            </w:r>
          </w:p>
        </w:tc>
      </w:tr>
      <w:tr w14:paraId="1332B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6954BE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37E9CB6">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28A14DEA">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3C3AF5B">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5DA0A069">
            <w:pPr>
              <w:widowControl/>
              <w:spacing w:line="0" w:lineRule="atLeast"/>
              <w:jc w:val="center"/>
              <w:rPr>
                <w:rFonts w:ascii="仿宋" w:hAnsi="仿宋" w:eastAsia="仿宋" w:cs="仿宋"/>
                <w:bCs/>
                <w:spacing w:val="-10"/>
                <w:kern w:val="0"/>
                <w:sz w:val="24"/>
              </w:rPr>
            </w:pPr>
          </w:p>
        </w:tc>
        <w:tc>
          <w:tcPr>
            <w:tcW w:w="992" w:type="dxa"/>
            <w:noWrap w:val="0"/>
            <w:vAlign w:val="center"/>
          </w:tcPr>
          <w:p w14:paraId="6AB0372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6DFEA0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内企业排放污染物满足相应行业污染物排放限值要求，锅炉污染物排放满足《锅炉大气污染物排放标准》（DB13/5161-2020）相应排放限值要求。2.完善污水收集处理设施建设，纵横污水处理厂、开发区污水处理厂建成后出水水质中COD、BOD</w:t>
            </w:r>
            <w:r>
              <w:rPr>
                <w:rFonts w:hint="eastAsia" w:ascii="仿宋" w:hAnsi="仿宋" w:eastAsia="仿宋" w:cs="仿宋"/>
                <w:bCs/>
                <w:spacing w:val="-10"/>
                <w:kern w:val="0"/>
                <w:sz w:val="24"/>
                <w:vertAlign w:val="subscript"/>
              </w:rPr>
              <w:t>5</w:t>
            </w:r>
            <w:r>
              <w:rPr>
                <w:rFonts w:hint="eastAsia" w:ascii="仿宋" w:hAnsi="仿宋" w:eastAsia="仿宋" w:cs="仿宋"/>
                <w:bCs/>
                <w:spacing w:val="-10"/>
                <w:kern w:val="0"/>
                <w:sz w:val="24"/>
              </w:rPr>
              <w:t>、氨氮、总氮、总磷排放浓度限值执行《子牙河流域水污染物排放标准》（DB13/2796-2018）。3.工业废气达标率100%、环境噪声达标率100%、污水集中处理率100%、工业废水达标排放率100%、固体废物安全处理处置率达到100%。</w:t>
            </w:r>
          </w:p>
        </w:tc>
      </w:tr>
      <w:tr w14:paraId="10668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3F9226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D318747">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570F7529">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702D736C">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07DAB0B0">
            <w:pPr>
              <w:widowControl/>
              <w:spacing w:line="0" w:lineRule="atLeast"/>
              <w:jc w:val="center"/>
              <w:rPr>
                <w:rFonts w:ascii="仿宋" w:hAnsi="仿宋" w:eastAsia="仿宋" w:cs="仿宋"/>
                <w:bCs/>
                <w:spacing w:val="-10"/>
                <w:kern w:val="0"/>
                <w:sz w:val="24"/>
              </w:rPr>
            </w:pPr>
          </w:p>
        </w:tc>
        <w:tc>
          <w:tcPr>
            <w:tcW w:w="992" w:type="dxa"/>
            <w:noWrap w:val="0"/>
            <w:vAlign w:val="center"/>
          </w:tcPr>
          <w:p w14:paraId="2D9833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291AB5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建立有效的事故风险防范体系，使开发区建设和环境保护协调发展。2.确定地下水污染来源和路径，进行污染风险评估。</w:t>
            </w:r>
          </w:p>
        </w:tc>
      </w:tr>
      <w:tr w14:paraId="3F264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B53CA2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627BB15">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41D82F70">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8D29B6A">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0B129701">
            <w:pPr>
              <w:widowControl/>
              <w:spacing w:line="0" w:lineRule="atLeast"/>
              <w:jc w:val="center"/>
              <w:rPr>
                <w:rFonts w:ascii="仿宋" w:hAnsi="仿宋" w:eastAsia="仿宋" w:cs="仿宋"/>
                <w:bCs/>
                <w:spacing w:val="-10"/>
                <w:kern w:val="0"/>
                <w:sz w:val="24"/>
              </w:rPr>
            </w:pPr>
          </w:p>
        </w:tc>
        <w:tc>
          <w:tcPr>
            <w:tcW w:w="992" w:type="dxa"/>
            <w:noWrap w:val="0"/>
            <w:vAlign w:val="center"/>
          </w:tcPr>
          <w:p w14:paraId="0E4B85C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81514C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1.减少新鲜水用量，提高中水回用率。2.鼓励锅炉、工业炉窑进行余热利用。3.禁燃区内严格按照相应的高污染燃料禁燃区的通告要求执行。</w:t>
            </w:r>
          </w:p>
        </w:tc>
      </w:tr>
      <w:tr w14:paraId="08136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39A64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ZH13040420024</w:t>
            </w:r>
          </w:p>
        </w:tc>
        <w:tc>
          <w:tcPr>
            <w:tcW w:w="567" w:type="dxa"/>
            <w:vMerge w:val="restart"/>
            <w:noWrap w:val="0"/>
            <w:vAlign w:val="center"/>
          </w:tcPr>
          <w:p w14:paraId="4F7ACAE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097AD6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户村镇、康庄乡</w:t>
            </w:r>
          </w:p>
        </w:tc>
        <w:tc>
          <w:tcPr>
            <w:tcW w:w="763" w:type="dxa"/>
            <w:vMerge w:val="restart"/>
            <w:noWrap w:val="0"/>
            <w:vAlign w:val="center"/>
          </w:tcPr>
          <w:p w14:paraId="45BBCC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503AAA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大气环境受体敏感重点管控区、水环境城镇生活污染重点管控区、高污染燃料禁燃区</w:t>
            </w:r>
          </w:p>
        </w:tc>
        <w:tc>
          <w:tcPr>
            <w:tcW w:w="992" w:type="dxa"/>
            <w:noWrap w:val="0"/>
            <w:vAlign w:val="center"/>
          </w:tcPr>
          <w:p w14:paraId="781AA71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C2C238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1.按照国家《绿色矿山建设规范》要求，推动露天矿山绿色标准化建设。2.项目建设应考虑对周边敏感区的环境影响。</w:t>
            </w:r>
          </w:p>
        </w:tc>
      </w:tr>
      <w:tr w14:paraId="62DC0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FAA5F3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7B411CC">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620F70DC">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1D7FADEF">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1281E2FB">
            <w:pPr>
              <w:widowControl/>
              <w:spacing w:line="0" w:lineRule="atLeast"/>
              <w:jc w:val="center"/>
              <w:rPr>
                <w:rFonts w:ascii="仿宋" w:hAnsi="仿宋" w:eastAsia="仿宋" w:cs="仿宋"/>
                <w:bCs/>
                <w:spacing w:val="-10"/>
                <w:kern w:val="0"/>
                <w:sz w:val="24"/>
              </w:rPr>
            </w:pPr>
          </w:p>
        </w:tc>
        <w:tc>
          <w:tcPr>
            <w:tcW w:w="992" w:type="dxa"/>
            <w:noWrap w:val="0"/>
            <w:vAlign w:val="center"/>
          </w:tcPr>
          <w:p w14:paraId="4361CBB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5019536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砖瓦行业污染物排放满足《砖瓦工业大气污染物排放标准》（GB2962-2013）及修改单中相应排放限值要求。2.新建(含搬迁)燃煤电厂项目全部达到超低排放水平及无组织排放治理要求。3.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4.冲天炉、玻璃熔窑、以煤和煤矸石为燃料的砖瓦烧结窑、耐火材料焙烧窑(电窑除外)、炭素焙(煅)烧炉(窑)、石灰窑、和精炼炉等，原则上应纳入重点排污单位名录，安装自动监控设施。5.对涉粉状物料十大行业按照“退后十”方案中相应要求管理。6.加快完善区域污水管网建设，提高污水收集率，严禁生活污水不经处理直接外排。7.现有及新（改、扩）建向环境水体直接排放污水的排污单位满足《子牙河流域水污染物排放标准》（DB13/2796-2018)相应排放限值要求。</w:t>
            </w:r>
          </w:p>
        </w:tc>
      </w:tr>
      <w:tr w14:paraId="7EA32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E0D75F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DAF241">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6335B75A">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7EEF978">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27A40613">
            <w:pPr>
              <w:widowControl/>
              <w:spacing w:line="0" w:lineRule="atLeast"/>
              <w:jc w:val="center"/>
              <w:rPr>
                <w:rFonts w:ascii="仿宋" w:hAnsi="仿宋" w:eastAsia="仿宋" w:cs="仿宋"/>
                <w:bCs/>
                <w:spacing w:val="-10"/>
                <w:kern w:val="0"/>
                <w:sz w:val="24"/>
              </w:rPr>
            </w:pPr>
          </w:p>
        </w:tc>
        <w:tc>
          <w:tcPr>
            <w:tcW w:w="992" w:type="dxa"/>
            <w:noWrap w:val="0"/>
            <w:vAlign w:val="center"/>
          </w:tcPr>
          <w:p w14:paraId="6C17B6A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679153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提出合理有效的环境风险防范措施和环境风险应急预案的编制要求，纳入区域环境风险应急联动机制。以液氨为脱硝还原剂的，加强液氨储运和使用环节的环境风险管控。</w:t>
            </w:r>
          </w:p>
        </w:tc>
      </w:tr>
      <w:tr w14:paraId="78141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C69CD5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69BDACD">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684357F3">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5524AFF3">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6511FC78">
            <w:pPr>
              <w:widowControl/>
              <w:spacing w:line="0" w:lineRule="atLeast"/>
              <w:jc w:val="center"/>
              <w:rPr>
                <w:rFonts w:ascii="仿宋" w:hAnsi="仿宋" w:eastAsia="仿宋" w:cs="仿宋"/>
                <w:bCs/>
                <w:spacing w:val="-10"/>
                <w:kern w:val="0"/>
                <w:sz w:val="24"/>
              </w:rPr>
            </w:pPr>
          </w:p>
        </w:tc>
        <w:tc>
          <w:tcPr>
            <w:tcW w:w="992" w:type="dxa"/>
            <w:noWrap w:val="0"/>
            <w:vAlign w:val="center"/>
          </w:tcPr>
          <w:p w14:paraId="52F409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2D040D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禁燃区内严格按照相应的高污染燃料禁燃区的通告要求执行。</w:t>
            </w:r>
          </w:p>
        </w:tc>
      </w:tr>
      <w:tr w14:paraId="502B8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D40A1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ZH13040420025</w:t>
            </w:r>
          </w:p>
        </w:tc>
        <w:tc>
          <w:tcPr>
            <w:tcW w:w="567" w:type="dxa"/>
            <w:vMerge w:val="restart"/>
            <w:noWrap w:val="0"/>
            <w:vAlign w:val="center"/>
          </w:tcPr>
          <w:p w14:paraId="22711EE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4DCD62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庞村街道办</w:t>
            </w:r>
          </w:p>
        </w:tc>
        <w:tc>
          <w:tcPr>
            <w:tcW w:w="763" w:type="dxa"/>
            <w:vMerge w:val="restart"/>
            <w:noWrap w:val="0"/>
            <w:vAlign w:val="center"/>
          </w:tcPr>
          <w:p w14:paraId="42EDB9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325FC7B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大气环境布局敏感重点重点管控区、水环境城镇污染生活重点管控区、高污染燃料禁燃区</w:t>
            </w:r>
          </w:p>
        </w:tc>
        <w:tc>
          <w:tcPr>
            <w:tcW w:w="992" w:type="dxa"/>
            <w:noWrap w:val="0"/>
            <w:vAlign w:val="center"/>
          </w:tcPr>
          <w:p w14:paraId="09BF80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C20A84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按照国家《绿色矿山建设规范》要求，推动露天矿山绿色标准化建设。</w:t>
            </w:r>
          </w:p>
        </w:tc>
      </w:tr>
      <w:tr w14:paraId="4EE01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FF78E9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5363F9">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39D5FC0D">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7787AD1B">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7E53437E">
            <w:pPr>
              <w:widowControl/>
              <w:spacing w:line="0" w:lineRule="atLeast"/>
              <w:jc w:val="center"/>
              <w:rPr>
                <w:rFonts w:ascii="仿宋" w:hAnsi="仿宋" w:eastAsia="仿宋" w:cs="仿宋"/>
                <w:bCs/>
                <w:spacing w:val="-10"/>
                <w:kern w:val="0"/>
                <w:sz w:val="24"/>
              </w:rPr>
            </w:pPr>
          </w:p>
        </w:tc>
        <w:tc>
          <w:tcPr>
            <w:tcW w:w="992" w:type="dxa"/>
            <w:noWrap w:val="0"/>
            <w:vAlign w:val="center"/>
          </w:tcPr>
          <w:p w14:paraId="6BC197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9CCCA9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开展大气污染物特别排放限值改造，炼油、化学原料制造行业现有企业严格执行二氧化硫、氮氧化物、颗粒物和挥发性有机物特别排放限值。</w:t>
            </w:r>
          </w:p>
        </w:tc>
      </w:tr>
      <w:tr w14:paraId="7CAD0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E1C3D0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7735B75">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36FA3DD0">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21D6F5E4">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3F727131">
            <w:pPr>
              <w:widowControl/>
              <w:spacing w:line="0" w:lineRule="atLeast"/>
              <w:jc w:val="center"/>
              <w:rPr>
                <w:rFonts w:ascii="仿宋" w:hAnsi="仿宋" w:eastAsia="仿宋" w:cs="仿宋"/>
                <w:bCs/>
                <w:spacing w:val="-10"/>
                <w:kern w:val="0"/>
                <w:sz w:val="24"/>
              </w:rPr>
            </w:pPr>
          </w:p>
        </w:tc>
        <w:tc>
          <w:tcPr>
            <w:tcW w:w="992" w:type="dxa"/>
            <w:noWrap w:val="0"/>
            <w:vAlign w:val="center"/>
          </w:tcPr>
          <w:p w14:paraId="28A0F0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28F0D6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按照国家公布的优先控制化学品目录，评估现有化学物质环境和健康风险。高风险化学品生产使用进行严格限制，并逐步淘汰替代。2.定期对土壤污染重点监管单位和地下水污染防治重点排污单位名录周边土壤、地下水开展监督性监测</w:t>
            </w:r>
            <w:r>
              <w:rPr>
                <w:rFonts w:hint="eastAsia" w:ascii="仿宋" w:hAnsi="仿宋" w:eastAsia="仿宋" w:cs="仿宋"/>
                <w:bCs/>
                <w:spacing w:val="-10"/>
                <w:kern w:val="0"/>
                <w:sz w:val="24"/>
                <w:lang w:eastAsia="zh-CN"/>
              </w:rPr>
              <w:t>。</w:t>
            </w:r>
            <w:r>
              <w:rPr>
                <w:rFonts w:hint="eastAsia" w:ascii="仿宋" w:hAnsi="仿宋" w:eastAsia="仿宋" w:cs="仿宋"/>
                <w:bCs/>
                <w:spacing w:val="-10"/>
                <w:kern w:val="0"/>
                <w:sz w:val="24"/>
              </w:rPr>
              <w:t>3.生产、储存危险化学品的企业事业单位，应当采取措施，防止消防废水、废液直接排入水体。4.发生突发事件可能造成土壤污染的，应当立即采取应急措施，防止土壤污染，并做好土壤污染状况监测、调查和土壤污染风险评估、风险管控、修复等工作。</w:t>
            </w:r>
          </w:p>
        </w:tc>
      </w:tr>
      <w:tr w14:paraId="6AEBC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B39071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E279014">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69CA5C0C">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E96FF06">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17CB3B49">
            <w:pPr>
              <w:widowControl/>
              <w:spacing w:line="0" w:lineRule="atLeast"/>
              <w:jc w:val="center"/>
              <w:rPr>
                <w:rFonts w:ascii="仿宋" w:hAnsi="仿宋" w:eastAsia="仿宋" w:cs="仿宋"/>
                <w:bCs/>
                <w:spacing w:val="-10"/>
                <w:kern w:val="0"/>
                <w:sz w:val="24"/>
              </w:rPr>
            </w:pPr>
          </w:p>
        </w:tc>
        <w:tc>
          <w:tcPr>
            <w:tcW w:w="992" w:type="dxa"/>
            <w:noWrap w:val="0"/>
            <w:vAlign w:val="center"/>
          </w:tcPr>
          <w:p w14:paraId="6DF5D4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32720C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3FF7F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BD5E67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ZH13040420026</w:t>
            </w:r>
          </w:p>
        </w:tc>
        <w:tc>
          <w:tcPr>
            <w:tcW w:w="567" w:type="dxa"/>
            <w:vMerge w:val="restart"/>
            <w:noWrap w:val="0"/>
            <w:vAlign w:val="center"/>
          </w:tcPr>
          <w:p w14:paraId="3D6EEBD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5F9F1A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胜利桥街道办</w:t>
            </w:r>
          </w:p>
        </w:tc>
        <w:tc>
          <w:tcPr>
            <w:tcW w:w="763" w:type="dxa"/>
            <w:vMerge w:val="restart"/>
            <w:noWrap w:val="0"/>
            <w:vAlign w:val="center"/>
          </w:tcPr>
          <w:p w14:paraId="4AD5C53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0B4E46E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大气环境布局敏感重点重点管控区、水环境城镇生活污染重点管控区、高污染燃料禁燃区</w:t>
            </w:r>
          </w:p>
        </w:tc>
        <w:tc>
          <w:tcPr>
            <w:tcW w:w="992" w:type="dxa"/>
            <w:noWrap w:val="0"/>
            <w:vAlign w:val="center"/>
          </w:tcPr>
          <w:p w14:paraId="4E912B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D4CBE6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新建涉水企业原则上均应建在工业园区内，推动现有工业企业入园。</w:t>
            </w:r>
          </w:p>
        </w:tc>
      </w:tr>
      <w:tr w14:paraId="7EEC8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55B80D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2EACB89">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1FB0385A">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2E449B4C">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2F08933E">
            <w:pPr>
              <w:widowControl/>
              <w:spacing w:line="0" w:lineRule="atLeast"/>
              <w:jc w:val="center"/>
              <w:rPr>
                <w:rFonts w:ascii="仿宋" w:hAnsi="仿宋" w:eastAsia="仿宋" w:cs="仿宋"/>
                <w:bCs/>
                <w:spacing w:val="-10"/>
                <w:kern w:val="0"/>
                <w:sz w:val="24"/>
              </w:rPr>
            </w:pPr>
          </w:p>
        </w:tc>
        <w:tc>
          <w:tcPr>
            <w:tcW w:w="992" w:type="dxa"/>
            <w:noWrap w:val="0"/>
            <w:vAlign w:val="center"/>
          </w:tcPr>
          <w:p w14:paraId="43A93B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1F3370C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34AD3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17425F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A40CC5E">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6E36EEF9">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4AFE63C7">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47FFC679">
            <w:pPr>
              <w:widowControl/>
              <w:spacing w:line="0" w:lineRule="atLeast"/>
              <w:jc w:val="center"/>
              <w:rPr>
                <w:rFonts w:ascii="仿宋" w:hAnsi="仿宋" w:eastAsia="仿宋" w:cs="仿宋"/>
                <w:bCs/>
                <w:spacing w:val="-10"/>
                <w:kern w:val="0"/>
                <w:sz w:val="24"/>
              </w:rPr>
            </w:pPr>
          </w:p>
        </w:tc>
        <w:tc>
          <w:tcPr>
            <w:tcW w:w="992" w:type="dxa"/>
            <w:noWrap w:val="0"/>
            <w:vAlign w:val="center"/>
          </w:tcPr>
          <w:p w14:paraId="05DA444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627E73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确定地下水污染来源和路径，进行污染风险评估，确定修复目标和风险管控目标。</w:t>
            </w:r>
          </w:p>
        </w:tc>
      </w:tr>
      <w:tr w14:paraId="52D4D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ADA37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A28A25B">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2BA4D2A9">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F66299B">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5F273C15">
            <w:pPr>
              <w:widowControl/>
              <w:spacing w:line="0" w:lineRule="atLeast"/>
              <w:jc w:val="center"/>
              <w:rPr>
                <w:rFonts w:ascii="仿宋" w:hAnsi="仿宋" w:eastAsia="仿宋" w:cs="仿宋"/>
                <w:bCs/>
                <w:spacing w:val="-10"/>
                <w:kern w:val="0"/>
                <w:sz w:val="24"/>
              </w:rPr>
            </w:pPr>
          </w:p>
        </w:tc>
        <w:tc>
          <w:tcPr>
            <w:tcW w:w="992" w:type="dxa"/>
            <w:noWrap w:val="0"/>
            <w:vAlign w:val="center"/>
          </w:tcPr>
          <w:p w14:paraId="5891CA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E2041D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46933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E5DFEA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ZH13040420027</w:t>
            </w:r>
          </w:p>
        </w:tc>
        <w:tc>
          <w:tcPr>
            <w:tcW w:w="567" w:type="dxa"/>
            <w:vMerge w:val="restart"/>
            <w:noWrap w:val="0"/>
            <w:vAlign w:val="center"/>
          </w:tcPr>
          <w:p w14:paraId="489A7D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020178C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庞村街道办、彭家寨乡、石化街道办、户村镇</w:t>
            </w:r>
          </w:p>
        </w:tc>
        <w:tc>
          <w:tcPr>
            <w:tcW w:w="763" w:type="dxa"/>
            <w:vMerge w:val="restart"/>
            <w:noWrap w:val="0"/>
            <w:vAlign w:val="center"/>
          </w:tcPr>
          <w:p w14:paraId="1E488DB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400E274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大气环境布局敏感重点重点管控区、水环境城镇生活污染重点管控区、高污染燃料禁燃区</w:t>
            </w:r>
          </w:p>
        </w:tc>
        <w:tc>
          <w:tcPr>
            <w:tcW w:w="992" w:type="dxa"/>
            <w:noWrap w:val="0"/>
            <w:vAlign w:val="center"/>
          </w:tcPr>
          <w:p w14:paraId="195432B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F2B994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热电联产规划应依据本地区城市供热规划、环境治理规划和电力规划编制，与当地气候、资源、环境等外部条件相适应，以满足热力需求为首要任务，同步推进燃煤锅炉和落后小热电机组的替代关停。</w:t>
            </w:r>
          </w:p>
        </w:tc>
      </w:tr>
      <w:tr w14:paraId="2932C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DEC509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244385A">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249762A1">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2E0FDE2B">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5E6B5A5F">
            <w:pPr>
              <w:widowControl/>
              <w:spacing w:line="0" w:lineRule="atLeast"/>
              <w:jc w:val="center"/>
              <w:rPr>
                <w:rFonts w:ascii="仿宋" w:hAnsi="仿宋" w:eastAsia="仿宋" w:cs="仿宋"/>
                <w:bCs/>
                <w:spacing w:val="-10"/>
                <w:kern w:val="0"/>
                <w:sz w:val="24"/>
              </w:rPr>
            </w:pPr>
          </w:p>
        </w:tc>
        <w:tc>
          <w:tcPr>
            <w:tcW w:w="992" w:type="dxa"/>
            <w:noWrap w:val="0"/>
            <w:vAlign w:val="center"/>
          </w:tcPr>
          <w:p w14:paraId="104029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2D230BA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砖瓦行业污染物排放满足《砖瓦工业大气污染物排放标准》（GB2962-2013）及修改单中相应排放限值要求。2.新建(含搬迁)燃煤电厂项目全部达到超低排放水平及无组织排放治理要求。3.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4.冲天炉、玻璃熔窑、以煤和煤矸石为燃料的砖瓦烧结窑、耐火材料焙烧窑(电窑除外)、炭素焙(煅)烧炉(窑)、石灰窑、和精炼炉等，原则上应纳入重点排污单位名录，安装自动监控设施。5.对涉粉状物料十大行业按照“退后十”方案中相应要求管理。6.加快完善区域污水管网建设，提高污水收集率，严禁生活污水不经处理直接外排。7.现有及新（改、扩）建向环境水体直接排放污水的排污单位满足《子牙河流域水污染物排放标准》（DB13/2796-2018)相应排放限值要求。</w:t>
            </w:r>
          </w:p>
        </w:tc>
      </w:tr>
      <w:tr w14:paraId="1344E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9EB808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8DC4246">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4936043B">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7201B813">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57109AA3">
            <w:pPr>
              <w:widowControl/>
              <w:spacing w:line="0" w:lineRule="atLeast"/>
              <w:jc w:val="center"/>
              <w:rPr>
                <w:rFonts w:ascii="仿宋" w:hAnsi="仿宋" w:eastAsia="仿宋" w:cs="仿宋"/>
                <w:bCs/>
                <w:spacing w:val="-10"/>
                <w:kern w:val="0"/>
                <w:sz w:val="24"/>
              </w:rPr>
            </w:pPr>
          </w:p>
        </w:tc>
        <w:tc>
          <w:tcPr>
            <w:tcW w:w="992" w:type="dxa"/>
            <w:noWrap w:val="0"/>
            <w:vAlign w:val="center"/>
          </w:tcPr>
          <w:p w14:paraId="491C83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D70642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设排污口的区域落实高浓度循环冷却水综合利用途径或采取有效的脱盐措施。2.提出合理有效的环境风险防范措施和环境风险应急预案的编制要求，纳入区域环境风险应急联动机制。以液氨为脱硝还原剂的，加强液氨储运和使用环节的环境风险管控。</w:t>
            </w:r>
          </w:p>
        </w:tc>
      </w:tr>
      <w:tr w14:paraId="7DD05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038455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377B7A4">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11A38506">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4AFC033E">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679F6C28">
            <w:pPr>
              <w:widowControl/>
              <w:spacing w:line="0" w:lineRule="atLeast"/>
              <w:jc w:val="center"/>
              <w:rPr>
                <w:rFonts w:ascii="仿宋" w:hAnsi="仿宋" w:eastAsia="仿宋" w:cs="仿宋"/>
                <w:bCs/>
                <w:spacing w:val="-10"/>
                <w:kern w:val="0"/>
                <w:sz w:val="24"/>
              </w:rPr>
            </w:pPr>
          </w:p>
        </w:tc>
        <w:tc>
          <w:tcPr>
            <w:tcW w:w="992" w:type="dxa"/>
            <w:noWrap w:val="0"/>
            <w:vAlign w:val="center"/>
          </w:tcPr>
          <w:p w14:paraId="29CDDFF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A0148C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对30万千瓦及以上热电联产机组覆盖范围内的自备燃煤电厂实施关停整合。3.热电总热效率平均大于45%，单机容量在50兆瓦以下的热电机组，其热电比年平均大于100%。4.新建燃煤发电机组平均供电煤耗低于300克标准煤/千瓦时。5.禁燃区内严格按照相应的高污染燃料禁燃区的通告要求执行。</w:t>
            </w:r>
          </w:p>
        </w:tc>
      </w:tr>
      <w:tr w14:paraId="69560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F086C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ZH13040420028</w:t>
            </w:r>
          </w:p>
        </w:tc>
        <w:tc>
          <w:tcPr>
            <w:tcW w:w="567" w:type="dxa"/>
            <w:vMerge w:val="restart"/>
            <w:noWrap w:val="0"/>
            <w:vAlign w:val="center"/>
          </w:tcPr>
          <w:p w14:paraId="747439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350662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百家村街道办、化林路街道办、彭家寨乡</w:t>
            </w:r>
          </w:p>
        </w:tc>
        <w:tc>
          <w:tcPr>
            <w:tcW w:w="763" w:type="dxa"/>
            <w:vMerge w:val="restart"/>
            <w:noWrap w:val="0"/>
            <w:vAlign w:val="center"/>
          </w:tcPr>
          <w:p w14:paraId="421C71E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1AFE310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大气环境布局敏感重点重点管控区、水环境城镇生活污染重点管控区、高污染燃料禁燃区</w:t>
            </w:r>
          </w:p>
        </w:tc>
        <w:tc>
          <w:tcPr>
            <w:tcW w:w="992" w:type="dxa"/>
            <w:noWrap w:val="0"/>
            <w:vAlign w:val="center"/>
          </w:tcPr>
          <w:p w14:paraId="53CADC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0888D3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新建涉水企业原则上均应建在工业园区内，推动现有工业企业入园。2.确保“散乱污”企业动态清零。按照中共邯郸市委邯郸市人民政府印发《邯郸市空气质量综合指数“退后十”攻坚行动方案》的通知（邯文〔2021〕12号）相应内容进行管理。</w:t>
            </w:r>
          </w:p>
        </w:tc>
      </w:tr>
      <w:tr w14:paraId="11808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4B3F90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798AC57">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314EF55F">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7507A40E">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68CC7091">
            <w:pPr>
              <w:widowControl/>
              <w:spacing w:line="0" w:lineRule="atLeast"/>
              <w:jc w:val="center"/>
              <w:rPr>
                <w:rFonts w:ascii="仿宋" w:hAnsi="仿宋" w:eastAsia="仿宋" w:cs="仿宋"/>
                <w:bCs/>
                <w:spacing w:val="-10"/>
                <w:kern w:val="0"/>
                <w:sz w:val="24"/>
              </w:rPr>
            </w:pPr>
          </w:p>
        </w:tc>
        <w:tc>
          <w:tcPr>
            <w:tcW w:w="992" w:type="dxa"/>
            <w:noWrap w:val="0"/>
            <w:vAlign w:val="center"/>
          </w:tcPr>
          <w:p w14:paraId="67D5FA6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552023B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03E1D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1315D1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C9399B3">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58A928E1">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0284B7C5">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0B7F65ED">
            <w:pPr>
              <w:widowControl/>
              <w:spacing w:line="0" w:lineRule="atLeast"/>
              <w:jc w:val="center"/>
              <w:rPr>
                <w:rFonts w:ascii="仿宋" w:hAnsi="仿宋" w:eastAsia="仿宋" w:cs="仿宋"/>
                <w:bCs/>
                <w:spacing w:val="-10"/>
                <w:kern w:val="0"/>
                <w:sz w:val="24"/>
              </w:rPr>
            </w:pPr>
          </w:p>
        </w:tc>
        <w:tc>
          <w:tcPr>
            <w:tcW w:w="992" w:type="dxa"/>
            <w:noWrap w:val="0"/>
            <w:vAlign w:val="center"/>
          </w:tcPr>
          <w:p w14:paraId="1D2BF18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F58CB8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确定地下水污染来源和路径，进行污染风险评估，确定修复目标和风险管控目标。</w:t>
            </w:r>
          </w:p>
        </w:tc>
      </w:tr>
      <w:tr w14:paraId="15BCD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6E2DD9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0C0D118">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50ADAAF3">
            <w:pPr>
              <w:widowControl/>
              <w:spacing w:line="0" w:lineRule="atLeast"/>
              <w:jc w:val="center"/>
              <w:rPr>
                <w:rFonts w:ascii="仿宋" w:hAnsi="仿宋" w:eastAsia="仿宋" w:cs="仿宋"/>
                <w:bCs/>
                <w:spacing w:val="-10"/>
                <w:kern w:val="0"/>
                <w:sz w:val="24"/>
              </w:rPr>
            </w:pPr>
          </w:p>
        </w:tc>
        <w:tc>
          <w:tcPr>
            <w:tcW w:w="763" w:type="dxa"/>
            <w:vMerge w:val="continue"/>
            <w:noWrap w:val="0"/>
            <w:vAlign w:val="center"/>
          </w:tcPr>
          <w:p w14:paraId="6D9D302D">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66E992BD">
            <w:pPr>
              <w:widowControl/>
              <w:spacing w:line="0" w:lineRule="atLeast"/>
              <w:jc w:val="center"/>
              <w:rPr>
                <w:rFonts w:ascii="仿宋" w:hAnsi="仿宋" w:eastAsia="仿宋" w:cs="仿宋"/>
                <w:bCs/>
                <w:spacing w:val="-10"/>
                <w:kern w:val="0"/>
                <w:sz w:val="24"/>
              </w:rPr>
            </w:pPr>
          </w:p>
        </w:tc>
        <w:tc>
          <w:tcPr>
            <w:tcW w:w="992" w:type="dxa"/>
            <w:noWrap w:val="0"/>
            <w:vAlign w:val="center"/>
          </w:tcPr>
          <w:p w14:paraId="63DF9F8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472F00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3E733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5D53ED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ZH13040420029</w:t>
            </w:r>
          </w:p>
        </w:tc>
        <w:tc>
          <w:tcPr>
            <w:tcW w:w="567" w:type="dxa"/>
            <w:vMerge w:val="restart"/>
            <w:noWrap w:val="0"/>
            <w:vAlign w:val="center"/>
          </w:tcPr>
          <w:p w14:paraId="2A544B2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复兴区</w:t>
            </w:r>
          </w:p>
        </w:tc>
        <w:tc>
          <w:tcPr>
            <w:tcW w:w="898" w:type="dxa"/>
            <w:vMerge w:val="restart"/>
            <w:noWrap w:val="0"/>
            <w:vAlign w:val="center"/>
          </w:tcPr>
          <w:p w14:paraId="7AA0BF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户村镇、康庄乡</w:t>
            </w:r>
          </w:p>
        </w:tc>
        <w:tc>
          <w:tcPr>
            <w:tcW w:w="763" w:type="dxa"/>
            <w:vMerge w:val="restart"/>
            <w:noWrap w:val="0"/>
            <w:vAlign w:val="center"/>
          </w:tcPr>
          <w:p w14:paraId="752309F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33" w:type="dxa"/>
            <w:vMerge w:val="restart"/>
            <w:noWrap w:val="0"/>
            <w:vAlign w:val="center"/>
          </w:tcPr>
          <w:p w14:paraId="4B9B2E1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 水环境工业污染重点管控区  复兴区矿山生态修复及新型建材产业园区</w:t>
            </w:r>
          </w:p>
        </w:tc>
        <w:tc>
          <w:tcPr>
            <w:tcW w:w="992" w:type="dxa"/>
            <w:noWrap w:val="0"/>
            <w:vAlign w:val="center"/>
          </w:tcPr>
          <w:p w14:paraId="0D93FE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2FBE26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w:t>
            </w:r>
          </w:p>
        </w:tc>
      </w:tr>
      <w:tr w14:paraId="44DE8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0CA4A7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41C0138">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75415F6B">
            <w:pPr>
              <w:widowControl/>
              <w:spacing w:line="0" w:lineRule="atLeast"/>
              <w:rPr>
                <w:rFonts w:ascii="仿宋" w:hAnsi="仿宋" w:eastAsia="仿宋" w:cs="仿宋"/>
                <w:bCs/>
                <w:spacing w:val="-10"/>
                <w:kern w:val="0"/>
                <w:sz w:val="24"/>
              </w:rPr>
            </w:pPr>
          </w:p>
        </w:tc>
        <w:tc>
          <w:tcPr>
            <w:tcW w:w="763" w:type="dxa"/>
            <w:vMerge w:val="continue"/>
            <w:noWrap w:val="0"/>
            <w:vAlign w:val="center"/>
          </w:tcPr>
          <w:p w14:paraId="1C1BAE8F">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2BDB0117">
            <w:pPr>
              <w:widowControl/>
              <w:spacing w:line="0" w:lineRule="atLeast"/>
              <w:jc w:val="center"/>
              <w:rPr>
                <w:rFonts w:ascii="仿宋" w:hAnsi="仿宋" w:eastAsia="仿宋" w:cs="仿宋"/>
                <w:bCs/>
                <w:spacing w:val="-10"/>
                <w:kern w:val="0"/>
                <w:sz w:val="24"/>
              </w:rPr>
            </w:pPr>
          </w:p>
        </w:tc>
        <w:tc>
          <w:tcPr>
            <w:tcW w:w="992" w:type="dxa"/>
            <w:noWrap w:val="0"/>
            <w:vAlign w:val="center"/>
          </w:tcPr>
          <w:p w14:paraId="23408C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622DA60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1.具备污水集中处置设施各功能区及区外各敏感点声环境质量达到相应功能区声环境质量标准的达标率100%。2.区域颗粒物已无环境容量，入区企业严格落实新入区颗粒物的 2 倍总量替代削减工作，确保区域内颗粒物总量不增加，方可同意项目入区。3.工业炉窑污染物排放满足《工业炉窑大气污染物排放标准》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64824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DF4310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0C1D30C">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736F8BA0">
            <w:pPr>
              <w:widowControl/>
              <w:spacing w:line="0" w:lineRule="atLeast"/>
              <w:rPr>
                <w:rFonts w:ascii="仿宋" w:hAnsi="仿宋" w:eastAsia="仿宋" w:cs="仿宋"/>
                <w:bCs/>
                <w:spacing w:val="-10"/>
                <w:kern w:val="0"/>
                <w:sz w:val="24"/>
              </w:rPr>
            </w:pPr>
          </w:p>
        </w:tc>
        <w:tc>
          <w:tcPr>
            <w:tcW w:w="763" w:type="dxa"/>
            <w:vMerge w:val="continue"/>
            <w:noWrap w:val="0"/>
            <w:vAlign w:val="center"/>
          </w:tcPr>
          <w:p w14:paraId="6E44C046">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2A850B6E">
            <w:pPr>
              <w:widowControl/>
              <w:spacing w:line="0" w:lineRule="atLeast"/>
              <w:jc w:val="center"/>
              <w:rPr>
                <w:rFonts w:ascii="仿宋" w:hAnsi="仿宋" w:eastAsia="仿宋" w:cs="仿宋"/>
                <w:bCs/>
                <w:spacing w:val="-10"/>
                <w:kern w:val="0"/>
                <w:sz w:val="24"/>
              </w:rPr>
            </w:pPr>
          </w:p>
        </w:tc>
        <w:tc>
          <w:tcPr>
            <w:tcW w:w="992" w:type="dxa"/>
            <w:noWrap w:val="0"/>
            <w:vAlign w:val="center"/>
          </w:tcPr>
          <w:p w14:paraId="5F807FB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831AFE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1.涉及易导致环境风险的有毒有害和易燃易爆物质的生产、使用、排放、贮运等新建、改扩建项目，必须编制环境风险应急预案，并按相关要求采取完善的环境风险防控措施。2.完善园区和企业大气、水环境、土壤环境、声环境监测体系，制定园区和企业环境应急预案。</w:t>
            </w:r>
          </w:p>
        </w:tc>
      </w:tr>
      <w:tr w14:paraId="5D3EC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2EB186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9745E6">
            <w:pPr>
              <w:widowControl/>
              <w:spacing w:line="0" w:lineRule="atLeast"/>
              <w:jc w:val="center"/>
              <w:rPr>
                <w:rFonts w:ascii="仿宋" w:hAnsi="仿宋" w:eastAsia="仿宋" w:cs="仿宋"/>
                <w:bCs/>
                <w:spacing w:val="-10"/>
                <w:kern w:val="0"/>
                <w:sz w:val="24"/>
              </w:rPr>
            </w:pPr>
          </w:p>
        </w:tc>
        <w:tc>
          <w:tcPr>
            <w:tcW w:w="898" w:type="dxa"/>
            <w:vMerge w:val="continue"/>
            <w:noWrap w:val="0"/>
            <w:vAlign w:val="center"/>
          </w:tcPr>
          <w:p w14:paraId="4EE6006E">
            <w:pPr>
              <w:widowControl/>
              <w:spacing w:line="0" w:lineRule="atLeast"/>
              <w:rPr>
                <w:rFonts w:ascii="仿宋" w:hAnsi="仿宋" w:eastAsia="仿宋" w:cs="仿宋"/>
                <w:bCs/>
                <w:spacing w:val="-10"/>
                <w:kern w:val="0"/>
                <w:sz w:val="24"/>
              </w:rPr>
            </w:pPr>
          </w:p>
        </w:tc>
        <w:tc>
          <w:tcPr>
            <w:tcW w:w="763" w:type="dxa"/>
            <w:vMerge w:val="continue"/>
            <w:noWrap w:val="0"/>
            <w:vAlign w:val="center"/>
          </w:tcPr>
          <w:p w14:paraId="61C2C06F">
            <w:pPr>
              <w:widowControl/>
              <w:spacing w:line="0" w:lineRule="atLeast"/>
              <w:jc w:val="center"/>
              <w:rPr>
                <w:rFonts w:ascii="仿宋" w:hAnsi="仿宋" w:eastAsia="仿宋" w:cs="仿宋"/>
                <w:bCs/>
                <w:spacing w:val="-10"/>
                <w:kern w:val="0"/>
                <w:sz w:val="24"/>
              </w:rPr>
            </w:pPr>
          </w:p>
        </w:tc>
        <w:tc>
          <w:tcPr>
            <w:tcW w:w="1033" w:type="dxa"/>
            <w:vMerge w:val="continue"/>
            <w:noWrap w:val="0"/>
            <w:vAlign w:val="center"/>
          </w:tcPr>
          <w:p w14:paraId="259CAE16">
            <w:pPr>
              <w:widowControl/>
              <w:spacing w:line="0" w:lineRule="atLeast"/>
              <w:jc w:val="center"/>
              <w:rPr>
                <w:rFonts w:ascii="仿宋" w:hAnsi="仿宋" w:eastAsia="仿宋" w:cs="仿宋"/>
                <w:bCs/>
                <w:spacing w:val="-10"/>
                <w:kern w:val="0"/>
                <w:sz w:val="24"/>
              </w:rPr>
            </w:pPr>
          </w:p>
        </w:tc>
        <w:tc>
          <w:tcPr>
            <w:tcW w:w="992" w:type="dxa"/>
            <w:noWrap w:val="0"/>
            <w:vAlign w:val="center"/>
          </w:tcPr>
          <w:p w14:paraId="60DF00E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45B714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单位工业增加值综合能耗&lt;0.5 tec/万元；单位工业增加值新鲜水耗&lt;8.0 m3/万元；再生水回用率&gt;30%.</w:t>
            </w:r>
          </w:p>
        </w:tc>
      </w:tr>
    </w:tbl>
    <w:p w14:paraId="2E2B73AD">
      <w:pPr>
        <w:rPr>
          <w:rFonts w:hint="eastAsia" w:ascii="仿宋" w:hAnsi="仿宋" w:eastAsia="仿宋" w:cs="仿宋"/>
          <w:bCs/>
          <w:sz w:val="32"/>
          <w:szCs w:val="32"/>
        </w:rPr>
      </w:pPr>
      <w:r>
        <w:rPr>
          <w:rFonts w:hint="eastAsia" w:ascii="仿宋" w:hAnsi="仿宋" w:eastAsia="仿宋" w:cs="仿宋"/>
          <w:bCs/>
          <w:sz w:val="32"/>
          <w:szCs w:val="32"/>
        </w:rPr>
        <w:br w:type="page"/>
      </w:r>
    </w:p>
    <w:p w14:paraId="2CC94CCE">
      <w:pPr>
        <w:pStyle w:val="10"/>
        <w:numPr>
          <w:ilvl w:val="1"/>
          <w:numId w:val="0"/>
        </w:numPr>
        <w:spacing w:beforeLines="50"/>
        <w:ind w:firstLine="640" w:firstLineChars="200"/>
        <w:outlineLvl w:val="1"/>
        <w:rPr>
          <w:rFonts w:ascii="仿宋" w:hAnsi="仿宋" w:eastAsia="仿宋" w:cs="仿宋"/>
          <w:b/>
          <w:sz w:val="28"/>
          <w:szCs w:val="18"/>
        </w:rPr>
      </w:pPr>
      <w:r>
        <w:rPr>
          <w:rFonts w:hint="eastAsia" w:ascii="仿宋" w:hAnsi="仿宋" w:eastAsia="仿宋" w:cs="仿宋"/>
          <w:bCs/>
          <w:sz w:val="32"/>
          <w:szCs w:val="32"/>
        </w:rPr>
        <w:t>（四）峰峰矿区生态环境准入清单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885"/>
        <w:gridCol w:w="757"/>
        <w:gridCol w:w="1052"/>
        <w:gridCol w:w="992"/>
        <w:gridCol w:w="4053"/>
      </w:tblGrid>
      <w:tr w14:paraId="2FE16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6C65939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2AB4C60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885" w:type="dxa"/>
            <w:shd w:val="clear" w:color="auto" w:fill="D7D7D7"/>
            <w:noWrap w:val="0"/>
            <w:vAlign w:val="center"/>
          </w:tcPr>
          <w:p w14:paraId="4F06C19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57" w:type="dxa"/>
            <w:shd w:val="clear" w:color="auto" w:fill="D7D7D7"/>
            <w:noWrap w:val="0"/>
            <w:vAlign w:val="center"/>
          </w:tcPr>
          <w:p w14:paraId="607AFAD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1052" w:type="dxa"/>
            <w:shd w:val="clear" w:color="auto" w:fill="D7D7D7"/>
            <w:noWrap w:val="0"/>
            <w:vAlign w:val="center"/>
          </w:tcPr>
          <w:p w14:paraId="7DC05EB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992" w:type="dxa"/>
            <w:shd w:val="clear" w:color="auto" w:fill="D7D7D7"/>
            <w:noWrap w:val="0"/>
            <w:vAlign w:val="center"/>
          </w:tcPr>
          <w:p w14:paraId="2F1D919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79ACC88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52B39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AA1A4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ZH13040610029</w:t>
            </w:r>
          </w:p>
        </w:tc>
        <w:tc>
          <w:tcPr>
            <w:tcW w:w="567" w:type="dxa"/>
            <w:vMerge w:val="restart"/>
            <w:noWrap w:val="0"/>
            <w:vAlign w:val="center"/>
          </w:tcPr>
          <w:p w14:paraId="0844407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35F800D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义井镇</w:t>
            </w:r>
          </w:p>
        </w:tc>
        <w:tc>
          <w:tcPr>
            <w:tcW w:w="757" w:type="dxa"/>
            <w:vMerge w:val="restart"/>
            <w:noWrap w:val="0"/>
            <w:vAlign w:val="center"/>
          </w:tcPr>
          <w:p w14:paraId="4D90A6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52" w:type="dxa"/>
            <w:vMerge w:val="restart"/>
            <w:noWrap w:val="0"/>
            <w:vAlign w:val="center"/>
          </w:tcPr>
          <w:p w14:paraId="7306A8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冀南山底抗日地道风景区</w:t>
            </w:r>
          </w:p>
        </w:tc>
        <w:tc>
          <w:tcPr>
            <w:tcW w:w="992" w:type="dxa"/>
            <w:noWrap w:val="0"/>
            <w:vAlign w:val="center"/>
          </w:tcPr>
          <w:p w14:paraId="14503E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9DE1FD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按照《中华人民共和国风景名胜区条例》及相关管理要求执行。</w:t>
            </w:r>
          </w:p>
        </w:tc>
      </w:tr>
      <w:tr w14:paraId="0EF8C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0B029C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C7130FE">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8129DF7">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5C6BC53">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3FC8AFF">
            <w:pPr>
              <w:widowControl/>
              <w:spacing w:line="0" w:lineRule="atLeast"/>
              <w:jc w:val="center"/>
              <w:rPr>
                <w:rFonts w:ascii="仿宋" w:hAnsi="仿宋" w:eastAsia="仿宋" w:cs="仿宋"/>
                <w:bCs/>
                <w:spacing w:val="-10"/>
                <w:kern w:val="0"/>
                <w:sz w:val="24"/>
              </w:rPr>
            </w:pPr>
          </w:p>
        </w:tc>
        <w:tc>
          <w:tcPr>
            <w:tcW w:w="992" w:type="dxa"/>
            <w:noWrap w:val="0"/>
            <w:vAlign w:val="center"/>
          </w:tcPr>
          <w:p w14:paraId="762F75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073D32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A071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024F64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3F21324">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2AB2651">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8F7BC1E">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DFA931A">
            <w:pPr>
              <w:widowControl/>
              <w:spacing w:line="0" w:lineRule="atLeast"/>
              <w:jc w:val="center"/>
              <w:rPr>
                <w:rFonts w:ascii="仿宋" w:hAnsi="仿宋" w:eastAsia="仿宋" w:cs="仿宋"/>
                <w:bCs/>
                <w:spacing w:val="-10"/>
                <w:kern w:val="0"/>
                <w:sz w:val="24"/>
              </w:rPr>
            </w:pPr>
          </w:p>
        </w:tc>
        <w:tc>
          <w:tcPr>
            <w:tcW w:w="992" w:type="dxa"/>
            <w:noWrap w:val="0"/>
            <w:vAlign w:val="center"/>
          </w:tcPr>
          <w:p w14:paraId="522050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BACCFC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BD8F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4937BB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699D4E">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DB62A08">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44CA220">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68D41CB">
            <w:pPr>
              <w:widowControl/>
              <w:spacing w:line="0" w:lineRule="atLeast"/>
              <w:jc w:val="center"/>
              <w:rPr>
                <w:rFonts w:ascii="仿宋" w:hAnsi="仿宋" w:eastAsia="仿宋" w:cs="仿宋"/>
                <w:bCs/>
                <w:spacing w:val="-10"/>
                <w:kern w:val="0"/>
                <w:sz w:val="24"/>
              </w:rPr>
            </w:pPr>
          </w:p>
        </w:tc>
        <w:tc>
          <w:tcPr>
            <w:tcW w:w="992" w:type="dxa"/>
            <w:noWrap w:val="0"/>
            <w:vAlign w:val="center"/>
          </w:tcPr>
          <w:p w14:paraId="153ABC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3F72538">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07B87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D39B7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ZH13040610030</w:t>
            </w:r>
          </w:p>
        </w:tc>
        <w:tc>
          <w:tcPr>
            <w:tcW w:w="567" w:type="dxa"/>
            <w:vMerge w:val="restart"/>
            <w:noWrap w:val="0"/>
            <w:vAlign w:val="center"/>
          </w:tcPr>
          <w:p w14:paraId="6991BA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3C89FA7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滏阳东路街道、临水镇、新坡镇、和村镇、义井镇、彭城镇、界城镇、大峪镇</w:t>
            </w:r>
          </w:p>
        </w:tc>
        <w:tc>
          <w:tcPr>
            <w:tcW w:w="757" w:type="dxa"/>
            <w:vMerge w:val="restart"/>
            <w:noWrap w:val="0"/>
            <w:vAlign w:val="center"/>
          </w:tcPr>
          <w:p w14:paraId="34EFBB0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52" w:type="dxa"/>
            <w:vMerge w:val="restart"/>
            <w:noWrap w:val="0"/>
            <w:vAlign w:val="center"/>
          </w:tcPr>
          <w:p w14:paraId="28A3745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w:t>
            </w:r>
          </w:p>
        </w:tc>
        <w:tc>
          <w:tcPr>
            <w:tcW w:w="992" w:type="dxa"/>
            <w:noWrap w:val="0"/>
            <w:vAlign w:val="center"/>
          </w:tcPr>
          <w:p w14:paraId="5A07A34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59924D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按照总体准入的生态空间总体管控要求中水源涵养、水土保持相应管控要求执行。</w:t>
            </w:r>
          </w:p>
        </w:tc>
      </w:tr>
      <w:tr w14:paraId="131A6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78CE72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82AA679">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10E843C">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64A6292B">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FBF204D">
            <w:pPr>
              <w:widowControl/>
              <w:spacing w:line="0" w:lineRule="atLeast"/>
              <w:jc w:val="center"/>
              <w:rPr>
                <w:rFonts w:ascii="仿宋" w:hAnsi="仿宋" w:eastAsia="仿宋" w:cs="仿宋"/>
                <w:bCs/>
                <w:spacing w:val="-10"/>
                <w:kern w:val="0"/>
                <w:sz w:val="24"/>
              </w:rPr>
            </w:pPr>
          </w:p>
        </w:tc>
        <w:tc>
          <w:tcPr>
            <w:tcW w:w="992" w:type="dxa"/>
            <w:noWrap w:val="0"/>
            <w:vAlign w:val="center"/>
          </w:tcPr>
          <w:p w14:paraId="2C50725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AEBBE3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749AB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5D627B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D1D5ED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A0B26D4">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7C4A0AC0">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6E9E64E">
            <w:pPr>
              <w:widowControl/>
              <w:spacing w:line="0" w:lineRule="atLeast"/>
              <w:jc w:val="center"/>
              <w:rPr>
                <w:rFonts w:ascii="仿宋" w:hAnsi="仿宋" w:eastAsia="仿宋" w:cs="仿宋"/>
                <w:bCs/>
                <w:spacing w:val="-10"/>
                <w:kern w:val="0"/>
                <w:sz w:val="24"/>
              </w:rPr>
            </w:pPr>
          </w:p>
        </w:tc>
        <w:tc>
          <w:tcPr>
            <w:tcW w:w="992" w:type="dxa"/>
            <w:noWrap w:val="0"/>
            <w:vAlign w:val="center"/>
          </w:tcPr>
          <w:p w14:paraId="2C95FE2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7E4905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79D07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1A989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556DE5">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C74C239">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7C22F482">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8AA93FD">
            <w:pPr>
              <w:widowControl/>
              <w:spacing w:line="0" w:lineRule="atLeast"/>
              <w:jc w:val="center"/>
              <w:rPr>
                <w:rFonts w:ascii="仿宋" w:hAnsi="仿宋" w:eastAsia="仿宋" w:cs="仿宋"/>
                <w:bCs/>
                <w:spacing w:val="-10"/>
                <w:kern w:val="0"/>
                <w:sz w:val="24"/>
              </w:rPr>
            </w:pPr>
          </w:p>
        </w:tc>
        <w:tc>
          <w:tcPr>
            <w:tcW w:w="992" w:type="dxa"/>
            <w:noWrap w:val="0"/>
            <w:vAlign w:val="center"/>
          </w:tcPr>
          <w:p w14:paraId="0E86F7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768155E">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313D7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81453C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ZH13040610031</w:t>
            </w:r>
          </w:p>
        </w:tc>
        <w:tc>
          <w:tcPr>
            <w:tcW w:w="567" w:type="dxa"/>
            <w:vMerge w:val="restart"/>
            <w:noWrap w:val="0"/>
            <w:vAlign w:val="center"/>
          </w:tcPr>
          <w:p w14:paraId="6C30868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09C6EF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界城镇、彭城镇、义井镇</w:t>
            </w:r>
          </w:p>
        </w:tc>
        <w:tc>
          <w:tcPr>
            <w:tcW w:w="757" w:type="dxa"/>
            <w:vMerge w:val="restart"/>
            <w:noWrap w:val="0"/>
            <w:vAlign w:val="center"/>
          </w:tcPr>
          <w:p w14:paraId="6434995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52" w:type="dxa"/>
            <w:vMerge w:val="restart"/>
            <w:noWrap w:val="0"/>
            <w:vAlign w:val="center"/>
          </w:tcPr>
          <w:p w14:paraId="26385BD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水源涵养、羊角铺水源保护区</w:t>
            </w:r>
          </w:p>
        </w:tc>
        <w:tc>
          <w:tcPr>
            <w:tcW w:w="992" w:type="dxa"/>
            <w:noWrap w:val="0"/>
            <w:vAlign w:val="center"/>
          </w:tcPr>
          <w:p w14:paraId="54294E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04816C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1.按照总体准入的生态空间总体管控要求中水源涵养相应管控要求执行。2.羊角铺水源地按照《饮用水水源保护区污染防治管理规定》中管控要求执行。</w:t>
            </w:r>
          </w:p>
        </w:tc>
      </w:tr>
      <w:tr w14:paraId="65F6E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A4E923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A0589A3">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1A0310C">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11D896CA">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AEB306B">
            <w:pPr>
              <w:widowControl/>
              <w:spacing w:line="0" w:lineRule="atLeast"/>
              <w:jc w:val="center"/>
              <w:rPr>
                <w:rFonts w:ascii="仿宋" w:hAnsi="仿宋" w:eastAsia="仿宋" w:cs="仿宋"/>
                <w:bCs/>
                <w:spacing w:val="-10"/>
                <w:kern w:val="0"/>
                <w:sz w:val="24"/>
              </w:rPr>
            </w:pPr>
          </w:p>
        </w:tc>
        <w:tc>
          <w:tcPr>
            <w:tcW w:w="992" w:type="dxa"/>
            <w:noWrap w:val="0"/>
            <w:vAlign w:val="center"/>
          </w:tcPr>
          <w:p w14:paraId="1331B0C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50932F5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4B9F3D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FD5530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774F7D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E23A405">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FBD8A94">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C361240">
            <w:pPr>
              <w:widowControl/>
              <w:spacing w:line="0" w:lineRule="atLeast"/>
              <w:jc w:val="center"/>
              <w:rPr>
                <w:rFonts w:ascii="仿宋" w:hAnsi="仿宋" w:eastAsia="仿宋" w:cs="仿宋"/>
                <w:bCs/>
                <w:spacing w:val="-10"/>
                <w:kern w:val="0"/>
                <w:sz w:val="24"/>
              </w:rPr>
            </w:pPr>
          </w:p>
        </w:tc>
        <w:tc>
          <w:tcPr>
            <w:tcW w:w="992" w:type="dxa"/>
            <w:noWrap w:val="0"/>
            <w:vAlign w:val="center"/>
          </w:tcPr>
          <w:p w14:paraId="485532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8813A55">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2D047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3093BD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AE4495F">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D9D1199">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4B76E25">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A284926">
            <w:pPr>
              <w:widowControl/>
              <w:spacing w:line="0" w:lineRule="atLeast"/>
              <w:jc w:val="center"/>
              <w:rPr>
                <w:rFonts w:ascii="仿宋" w:hAnsi="仿宋" w:eastAsia="仿宋" w:cs="仿宋"/>
                <w:bCs/>
                <w:spacing w:val="-10"/>
                <w:kern w:val="0"/>
                <w:sz w:val="24"/>
              </w:rPr>
            </w:pPr>
          </w:p>
        </w:tc>
        <w:tc>
          <w:tcPr>
            <w:tcW w:w="992" w:type="dxa"/>
            <w:noWrap w:val="0"/>
            <w:vAlign w:val="center"/>
          </w:tcPr>
          <w:p w14:paraId="0430D5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5471CDD">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5EBDE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BCE35F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ZH13040610032</w:t>
            </w:r>
          </w:p>
        </w:tc>
        <w:tc>
          <w:tcPr>
            <w:tcW w:w="567" w:type="dxa"/>
            <w:vMerge w:val="restart"/>
            <w:noWrap w:val="0"/>
            <w:vAlign w:val="center"/>
          </w:tcPr>
          <w:p w14:paraId="3EB190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6E4F65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大社镇、大峪镇、峰峰镇、滏阳东路街道、和村镇、界城镇、临水镇、彭城镇、西固义乡、义井镇</w:t>
            </w:r>
          </w:p>
        </w:tc>
        <w:tc>
          <w:tcPr>
            <w:tcW w:w="757" w:type="dxa"/>
            <w:vMerge w:val="restart"/>
            <w:noWrap w:val="0"/>
            <w:vAlign w:val="center"/>
          </w:tcPr>
          <w:p w14:paraId="102231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52" w:type="dxa"/>
            <w:vMerge w:val="restart"/>
            <w:noWrap w:val="0"/>
            <w:vAlign w:val="center"/>
          </w:tcPr>
          <w:p w14:paraId="55280AC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太行山水土保持-生物多样性维护生态保护红线</w:t>
            </w:r>
          </w:p>
        </w:tc>
        <w:tc>
          <w:tcPr>
            <w:tcW w:w="992" w:type="dxa"/>
            <w:noWrap w:val="0"/>
            <w:vAlign w:val="center"/>
          </w:tcPr>
          <w:p w14:paraId="792102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803958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1.满足生态保护红线相关要求。2.按照总体准入的生态空间总体管控要求中水土保持相应管控要求执行。</w:t>
            </w:r>
          </w:p>
        </w:tc>
      </w:tr>
      <w:tr w14:paraId="57CD0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989E0C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FEAC26B">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0BBD3CC7">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359BC05">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3611BAA">
            <w:pPr>
              <w:widowControl/>
              <w:spacing w:line="0" w:lineRule="atLeast"/>
              <w:jc w:val="center"/>
              <w:rPr>
                <w:rFonts w:ascii="仿宋" w:hAnsi="仿宋" w:eastAsia="仿宋" w:cs="仿宋"/>
                <w:bCs/>
                <w:spacing w:val="-10"/>
                <w:kern w:val="0"/>
                <w:sz w:val="24"/>
              </w:rPr>
            </w:pPr>
          </w:p>
        </w:tc>
        <w:tc>
          <w:tcPr>
            <w:tcW w:w="992" w:type="dxa"/>
            <w:noWrap w:val="0"/>
            <w:vAlign w:val="center"/>
          </w:tcPr>
          <w:p w14:paraId="187D2F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29FD01C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383E4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397D02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6C5A6A5">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1872FF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31B24A7">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5D776998">
            <w:pPr>
              <w:widowControl/>
              <w:spacing w:line="0" w:lineRule="atLeast"/>
              <w:jc w:val="center"/>
              <w:rPr>
                <w:rFonts w:ascii="仿宋" w:hAnsi="仿宋" w:eastAsia="仿宋" w:cs="仿宋"/>
                <w:bCs/>
                <w:spacing w:val="-10"/>
                <w:kern w:val="0"/>
                <w:sz w:val="24"/>
              </w:rPr>
            </w:pPr>
          </w:p>
        </w:tc>
        <w:tc>
          <w:tcPr>
            <w:tcW w:w="992" w:type="dxa"/>
            <w:noWrap w:val="0"/>
            <w:vAlign w:val="center"/>
          </w:tcPr>
          <w:p w14:paraId="5CADF0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A076BD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4FF1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6CFF7A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F194453">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2469C9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6B9A61B">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A85143A">
            <w:pPr>
              <w:widowControl/>
              <w:spacing w:line="0" w:lineRule="atLeast"/>
              <w:jc w:val="center"/>
              <w:rPr>
                <w:rFonts w:ascii="仿宋" w:hAnsi="仿宋" w:eastAsia="仿宋" w:cs="仿宋"/>
                <w:bCs/>
                <w:spacing w:val="-10"/>
                <w:kern w:val="0"/>
                <w:sz w:val="24"/>
              </w:rPr>
            </w:pPr>
          </w:p>
        </w:tc>
        <w:tc>
          <w:tcPr>
            <w:tcW w:w="992" w:type="dxa"/>
            <w:noWrap w:val="0"/>
            <w:vAlign w:val="center"/>
          </w:tcPr>
          <w:p w14:paraId="4F26210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6087CF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C426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47A2A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H13040610033</w:t>
            </w:r>
          </w:p>
        </w:tc>
        <w:tc>
          <w:tcPr>
            <w:tcW w:w="567" w:type="dxa"/>
            <w:vMerge w:val="restart"/>
            <w:noWrap w:val="0"/>
            <w:vAlign w:val="center"/>
          </w:tcPr>
          <w:p w14:paraId="1169539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75484D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大社镇、大峪镇、峰峰镇、滏阳东路街道、和村镇、彭城镇、义井镇</w:t>
            </w:r>
          </w:p>
        </w:tc>
        <w:tc>
          <w:tcPr>
            <w:tcW w:w="757" w:type="dxa"/>
            <w:vMerge w:val="restart"/>
            <w:noWrap w:val="0"/>
            <w:vAlign w:val="center"/>
          </w:tcPr>
          <w:p w14:paraId="796358B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52" w:type="dxa"/>
            <w:vMerge w:val="restart"/>
            <w:noWrap w:val="0"/>
            <w:vAlign w:val="center"/>
          </w:tcPr>
          <w:p w14:paraId="4581AA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响堂山风景区</w:t>
            </w:r>
          </w:p>
        </w:tc>
        <w:tc>
          <w:tcPr>
            <w:tcW w:w="992" w:type="dxa"/>
            <w:noWrap w:val="0"/>
            <w:vAlign w:val="center"/>
          </w:tcPr>
          <w:p w14:paraId="03188C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A8F3E2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按照《中华人民共和国风景名胜区条例》及相关管理要求执行。</w:t>
            </w:r>
          </w:p>
        </w:tc>
      </w:tr>
      <w:tr w14:paraId="133764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6E1E57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65F765">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DDFB7F0">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147020D3">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0DB81C2A">
            <w:pPr>
              <w:widowControl/>
              <w:spacing w:line="0" w:lineRule="atLeast"/>
              <w:jc w:val="center"/>
              <w:rPr>
                <w:rFonts w:ascii="仿宋" w:hAnsi="仿宋" w:eastAsia="仿宋" w:cs="仿宋"/>
                <w:bCs/>
                <w:spacing w:val="-10"/>
                <w:kern w:val="0"/>
                <w:sz w:val="24"/>
              </w:rPr>
            </w:pPr>
          </w:p>
        </w:tc>
        <w:tc>
          <w:tcPr>
            <w:tcW w:w="992" w:type="dxa"/>
            <w:noWrap w:val="0"/>
            <w:vAlign w:val="center"/>
          </w:tcPr>
          <w:p w14:paraId="0B2C142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2208AADF">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272FC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A4AA2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5ED9A98">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C260D8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5C7AA3FA">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1D919CA">
            <w:pPr>
              <w:widowControl/>
              <w:spacing w:line="0" w:lineRule="atLeast"/>
              <w:jc w:val="center"/>
              <w:rPr>
                <w:rFonts w:ascii="仿宋" w:hAnsi="仿宋" w:eastAsia="仿宋" w:cs="仿宋"/>
                <w:bCs/>
                <w:spacing w:val="-10"/>
                <w:kern w:val="0"/>
                <w:sz w:val="24"/>
              </w:rPr>
            </w:pPr>
          </w:p>
        </w:tc>
        <w:tc>
          <w:tcPr>
            <w:tcW w:w="992" w:type="dxa"/>
            <w:noWrap w:val="0"/>
            <w:vAlign w:val="center"/>
          </w:tcPr>
          <w:p w14:paraId="30340E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20AF31D">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00C12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B37E07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E47D001">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C503230">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76F2C31">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595EF28">
            <w:pPr>
              <w:widowControl/>
              <w:spacing w:line="0" w:lineRule="atLeast"/>
              <w:jc w:val="center"/>
              <w:rPr>
                <w:rFonts w:ascii="仿宋" w:hAnsi="仿宋" w:eastAsia="仿宋" w:cs="仿宋"/>
                <w:bCs/>
                <w:spacing w:val="-10"/>
                <w:kern w:val="0"/>
                <w:sz w:val="24"/>
              </w:rPr>
            </w:pPr>
          </w:p>
        </w:tc>
        <w:tc>
          <w:tcPr>
            <w:tcW w:w="992" w:type="dxa"/>
            <w:noWrap w:val="0"/>
            <w:vAlign w:val="center"/>
          </w:tcPr>
          <w:p w14:paraId="10FCD26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DB564F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5042F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FB2247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ZH13040610034</w:t>
            </w:r>
          </w:p>
        </w:tc>
        <w:tc>
          <w:tcPr>
            <w:tcW w:w="567" w:type="dxa"/>
            <w:vMerge w:val="restart"/>
            <w:noWrap w:val="0"/>
            <w:vAlign w:val="center"/>
          </w:tcPr>
          <w:p w14:paraId="55E878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0EE9CD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界城镇、新坡镇、义井镇</w:t>
            </w:r>
          </w:p>
        </w:tc>
        <w:tc>
          <w:tcPr>
            <w:tcW w:w="757" w:type="dxa"/>
            <w:vMerge w:val="restart"/>
            <w:noWrap w:val="0"/>
            <w:vAlign w:val="center"/>
          </w:tcPr>
          <w:p w14:paraId="4C064C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052" w:type="dxa"/>
            <w:vMerge w:val="restart"/>
            <w:noWrap w:val="0"/>
            <w:vAlign w:val="center"/>
          </w:tcPr>
          <w:p w14:paraId="7EB7FD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国家级森林公园-河北响堂山国家森林公园</w:t>
            </w:r>
          </w:p>
        </w:tc>
        <w:tc>
          <w:tcPr>
            <w:tcW w:w="992" w:type="dxa"/>
            <w:noWrap w:val="0"/>
            <w:vAlign w:val="center"/>
          </w:tcPr>
          <w:p w14:paraId="0B214D9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4C1289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按照《国家级自然公园管理办法（试行）》及相关管理要求执行。</w:t>
            </w:r>
          </w:p>
        </w:tc>
      </w:tr>
      <w:tr w14:paraId="3FFD0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ED20B0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ED292AF">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E82F6BF">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6CC8CC3">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05C8C35">
            <w:pPr>
              <w:widowControl/>
              <w:spacing w:line="0" w:lineRule="atLeast"/>
              <w:jc w:val="center"/>
              <w:rPr>
                <w:rFonts w:ascii="仿宋" w:hAnsi="仿宋" w:eastAsia="仿宋" w:cs="仿宋"/>
                <w:bCs/>
                <w:spacing w:val="-10"/>
                <w:kern w:val="0"/>
                <w:sz w:val="24"/>
              </w:rPr>
            </w:pPr>
          </w:p>
        </w:tc>
        <w:tc>
          <w:tcPr>
            <w:tcW w:w="992" w:type="dxa"/>
            <w:noWrap w:val="0"/>
            <w:vAlign w:val="center"/>
          </w:tcPr>
          <w:p w14:paraId="1105DE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532A9DE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51614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406B27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3141FE8">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AC27A24">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EA8C2A3">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7FE6540C">
            <w:pPr>
              <w:widowControl/>
              <w:spacing w:line="0" w:lineRule="atLeast"/>
              <w:jc w:val="center"/>
              <w:rPr>
                <w:rFonts w:ascii="仿宋" w:hAnsi="仿宋" w:eastAsia="仿宋" w:cs="仿宋"/>
                <w:bCs/>
                <w:spacing w:val="-10"/>
                <w:kern w:val="0"/>
                <w:sz w:val="24"/>
              </w:rPr>
            </w:pPr>
          </w:p>
        </w:tc>
        <w:tc>
          <w:tcPr>
            <w:tcW w:w="992" w:type="dxa"/>
            <w:noWrap w:val="0"/>
            <w:vAlign w:val="center"/>
          </w:tcPr>
          <w:p w14:paraId="053199B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3CD4F4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538B7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79E795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E5A5C80">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7F71C01">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56AE25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63E2C00">
            <w:pPr>
              <w:widowControl/>
              <w:spacing w:line="0" w:lineRule="atLeast"/>
              <w:jc w:val="center"/>
              <w:rPr>
                <w:rFonts w:ascii="仿宋" w:hAnsi="仿宋" w:eastAsia="仿宋" w:cs="仿宋"/>
                <w:bCs/>
                <w:spacing w:val="-10"/>
                <w:kern w:val="0"/>
                <w:sz w:val="24"/>
              </w:rPr>
            </w:pPr>
          </w:p>
        </w:tc>
        <w:tc>
          <w:tcPr>
            <w:tcW w:w="992" w:type="dxa"/>
            <w:noWrap w:val="0"/>
            <w:vAlign w:val="center"/>
          </w:tcPr>
          <w:p w14:paraId="69FC27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56DA3A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6BF6C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AA2EF8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ZH13040620035</w:t>
            </w:r>
          </w:p>
        </w:tc>
        <w:tc>
          <w:tcPr>
            <w:tcW w:w="567" w:type="dxa"/>
            <w:vMerge w:val="restart"/>
            <w:noWrap w:val="0"/>
            <w:vAlign w:val="center"/>
          </w:tcPr>
          <w:p w14:paraId="2133D3E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16694B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新坡镇</w:t>
            </w:r>
          </w:p>
        </w:tc>
        <w:tc>
          <w:tcPr>
            <w:tcW w:w="757" w:type="dxa"/>
            <w:vMerge w:val="restart"/>
            <w:noWrap w:val="0"/>
            <w:vAlign w:val="center"/>
          </w:tcPr>
          <w:p w14:paraId="354E4C0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28D5679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 水环境工业污染重点管控区 河北峰峰经济开发区中小企业孵化园</w:t>
            </w:r>
          </w:p>
        </w:tc>
        <w:tc>
          <w:tcPr>
            <w:tcW w:w="992" w:type="dxa"/>
            <w:noWrap w:val="0"/>
            <w:vAlign w:val="center"/>
          </w:tcPr>
          <w:p w14:paraId="49A80EC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A9DC46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禁止新上100万平方米/年(不含)以下的建筑陶瓷砖、20万件/年(不含)以下卫生陶瓷生产线；禁止新上建筑卫生陶瓷(不包括建筑琉璃制品)土窑、倒焰窑、多孔窑、煤烧明焰隧道窑、隔焰隧道窑、匣钵装卫生陶瓷隧道窑、建筑陶瓷砖成型用的摩擦压砖机等设施。3.按照国家《绿色矿山建设规范》要求，推动露天矿山绿色标准化建设。</w:t>
            </w:r>
          </w:p>
        </w:tc>
      </w:tr>
      <w:tr w14:paraId="60E7E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7F8751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A2266F1">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96EE729">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77B61EE5">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A4A9F91">
            <w:pPr>
              <w:widowControl/>
              <w:spacing w:line="0" w:lineRule="atLeast"/>
              <w:jc w:val="center"/>
              <w:rPr>
                <w:rFonts w:ascii="仿宋" w:hAnsi="仿宋" w:eastAsia="仿宋" w:cs="仿宋"/>
                <w:bCs/>
                <w:spacing w:val="-10"/>
                <w:kern w:val="0"/>
                <w:sz w:val="24"/>
              </w:rPr>
            </w:pPr>
          </w:p>
        </w:tc>
        <w:tc>
          <w:tcPr>
            <w:tcW w:w="992" w:type="dxa"/>
            <w:noWrap w:val="0"/>
            <w:vAlign w:val="center"/>
          </w:tcPr>
          <w:p w14:paraId="7740B77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3C1665A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陶瓷行业要严格按照行业超低排放标准要求，在确保安全生产的条件下，进一步提高治污设施稳定运行性和污染物去除效率，稳定达标排放，实现超低排放新常态。2.开展日用陶瓷、陈设艺术瓷、特种陶瓷企业脱硝深度治理改造。3.工业炉窑污染物排放满足《工业炉窑大气污染物排放标准》(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4.加快完善区域污水管网建设，提高污水收集率，严禁生活污水不经处理直接外排。5.现有及新（改、扩）建向环境水体直接排放污水的排污单位满足《子牙河流域水污染物排放标准》（DB13/2796-2018)相应排放限值要求。</w:t>
            </w:r>
          </w:p>
        </w:tc>
      </w:tr>
      <w:tr w14:paraId="4B8D8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C4469C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5B23039">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873D0E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56F2167B">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682A106F">
            <w:pPr>
              <w:widowControl/>
              <w:spacing w:line="0" w:lineRule="atLeast"/>
              <w:jc w:val="center"/>
              <w:rPr>
                <w:rFonts w:ascii="仿宋" w:hAnsi="仿宋" w:eastAsia="仿宋" w:cs="仿宋"/>
                <w:bCs/>
                <w:spacing w:val="-10"/>
                <w:kern w:val="0"/>
                <w:sz w:val="24"/>
              </w:rPr>
            </w:pPr>
          </w:p>
        </w:tc>
        <w:tc>
          <w:tcPr>
            <w:tcW w:w="992" w:type="dxa"/>
            <w:noWrap w:val="0"/>
            <w:vAlign w:val="center"/>
          </w:tcPr>
          <w:p w14:paraId="7EB095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878546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尾矿、矸石、废石等矿业固体废物贮存设施停止使用后，矿山企业应当按照国家有关环境保护规定进行封场，防止造成环境污染和生态破坏。</w:t>
            </w:r>
          </w:p>
        </w:tc>
      </w:tr>
      <w:tr w14:paraId="363C2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2222BF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888E39E">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73EFD16">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7CBC9BDC">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D89EBD0">
            <w:pPr>
              <w:widowControl/>
              <w:spacing w:line="0" w:lineRule="atLeast"/>
              <w:jc w:val="center"/>
              <w:rPr>
                <w:rFonts w:ascii="仿宋" w:hAnsi="仿宋" w:eastAsia="仿宋" w:cs="仿宋"/>
                <w:bCs/>
                <w:spacing w:val="-10"/>
                <w:kern w:val="0"/>
                <w:sz w:val="24"/>
              </w:rPr>
            </w:pPr>
          </w:p>
        </w:tc>
        <w:tc>
          <w:tcPr>
            <w:tcW w:w="992" w:type="dxa"/>
            <w:noWrap w:val="0"/>
            <w:vAlign w:val="center"/>
          </w:tcPr>
          <w:p w14:paraId="4C86DF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FE599C2">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1.卫生</w:t>
            </w:r>
            <w:r>
              <w:rPr>
                <w:rFonts w:hint="eastAsia" w:ascii="仿宋" w:hAnsi="仿宋" w:eastAsia="仿宋" w:cs="仿宋"/>
                <w:bCs/>
                <w:spacing w:val="-10"/>
                <w:kern w:val="0"/>
                <w:sz w:val="24"/>
              </w:rPr>
              <w:t>陶瓷</w:t>
            </w:r>
            <w:r>
              <w:rPr>
                <w:rFonts w:hint="eastAsia" w:ascii="仿宋" w:hAnsi="仿宋" w:eastAsia="仿宋" w:cs="仿宋"/>
                <w:spacing w:val="-10"/>
                <w:sz w:val="24"/>
              </w:rPr>
              <w:t>单位产品综合能耗≤410千克标准煤/吨。2.</w:t>
            </w:r>
            <w:r>
              <w:rPr>
                <w:rFonts w:hint="eastAsia" w:ascii="仿宋" w:hAnsi="仿宋" w:eastAsia="仿宋" w:cs="仿宋"/>
                <w:bCs/>
                <w:spacing w:val="-10"/>
                <w:kern w:val="0"/>
                <w:sz w:val="24"/>
              </w:rPr>
              <w:t>禁燃区内严格按照相应的高污染燃料禁燃区的通告要求执行。</w:t>
            </w:r>
          </w:p>
        </w:tc>
      </w:tr>
      <w:tr w14:paraId="6F53E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FFE96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ZH13040620036</w:t>
            </w:r>
          </w:p>
        </w:tc>
        <w:tc>
          <w:tcPr>
            <w:tcW w:w="567" w:type="dxa"/>
            <w:vMerge w:val="restart"/>
            <w:noWrap w:val="0"/>
            <w:vAlign w:val="center"/>
          </w:tcPr>
          <w:p w14:paraId="7BBDBF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7CD78FC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大社镇、峰峰镇</w:t>
            </w:r>
          </w:p>
        </w:tc>
        <w:tc>
          <w:tcPr>
            <w:tcW w:w="757" w:type="dxa"/>
            <w:vMerge w:val="restart"/>
            <w:noWrap w:val="0"/>
            <w:vAlign w:val="center"/>
          </w:tcPr>
          <w:p w14:paraId="3ECDE23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7842F9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大气环境高排放重点管控区、水环境工业污染重点管控区、河北峰峰经济开发区特钢产业园</w:t>
            </w:r>
          </w:p>
        </w:tc>
        <w:tc>
          <w:tcPr>
            <w:tcW w:w="992" w:type="dxa"/>
            <w:noWrap w:val="0"/>
            <w:vAlign w:val="center"/>
          </w:tcPr>
          <w:p w14:paraId="31DFE66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82E60D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对不符合开发区产业规划的环保措施完善的现有企业予以保留，允许在不增加区域污染物排放量的情况下进行改造，未来随国家政策的收紧，通过上大压小、适时搬迁或淘汰。位于饮用水源准保护区、暂无搬迁计划的企业，保留现有规模不再扩大，未来随国家产业政策的收紧，通过上大压小、搬迁改造淘汰。入区建设项目必须确保选址地质条件能够满足工程实施要求。国家发改委发布的《市场准入负面清单》中列出的禁止准入类项目禁止入园。禁止建设生产和使用高VOCs含量的溶剂型涂料、油墨、胶粘剂等项目。</w:t>
            </w:r>
          </w:p>
        </w:tc>
      </w:tr>
      <w:tr w14:paraId="19041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C5E70B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8A4E3F4">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011E4B41">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138974C3">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63D14FD5">
            <w:pPr>
              <w:widowControl/>
              <w:spacing w:line="0" w:lineRule="atLeast"/>
              <w:jc w:val="center"/>
              <w:rPr>
                <w:rFonts w:ascii="仿宋" w:hAnsi="仿宋" w:eastAsia="仿宋" w:cs="仿宋"/>
                <w:bCs/>
                <w:spacing w:val="-10"/>
                <w:kern w:val="0"/>
                <w:sz w:val="24"/>
              </w:rPr>
            </w:pPr>
          </w:p>
        </w:tc>
        <w:tc>
          <w:tcPr>
            <w:tcW w:w="992" w:type="dxa"/>
            <w:noWrap w:val="0"/>
            <w:vAlign w:val="center"/>
          </w:tcPr>
          <w:p w14:paraId="7D64111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AC9820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冀中能源峰峰集团有限公司薛村矸石热电厂、峰峰矿区合信钢铁有限公司大气污染物有组织和无组织排放稳定实现超低排放，实现超低新常态。2.开发区内钢铁、焦化企业污染物排放满足《钢铁工业大气污染物超低排放标准》（DB13/2169-2018）、《炼焦化学工业大气污染物超低排放标准》（DB13/2863-2018）、《河北省钢铁、焦化、燃煤电厂深度减排攻坚方案》（冀气领办〔2018〕156号）等相应排放限值要求；其他工业企业污染物排放满足《工业企业挥发性有机物排放控制标准》（DB13/2322-2016）、《挥发性有机物无组织排放控制标准》（GB37822-2019）、《锅炉大气污染物排放标准》（DB13/5161-2020）相应排放限值要求。3.现有及新（改、扩）建向环境水体直接排放污水的排污单位满足《子牙河流域水污染物排放标准》（DB13/2796-2018)相应排放限值要求。</w:t>
            </w:r>
          </w:p>
        </w:tc>
      </w:tr>
      <w:tr w14:paraId="2FA44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533DBF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1B435CE">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A28AFB6">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B39BDDF">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A162357">
            <w:pPr>
              <w:widowControl/>
              <w:spacing w:line="0" w:lineRule="atLeast"/>
              <w:jc w:val="center"/>
              <w:rPr>
                <w:rFonts w:ascii="仿宋" w:hAnsi="仿宋" w:eastAsia="仿宋" w:cs="仿宋"/>
                <w:bCs/>
                <w:spacing w:val="-10"/>
                <w:kern w:val="0"/>
                <w:sz w:val="24"/>
              </w:rPr>
            </w:pPr>
          </w:p>
        </w:tc>
        <w:tc>
          <w:tcPr>
            <w:tcW w:w="992" w:type="dxa"/>
            <w:noWrap w:val="0"/>
            <w:vAlign w:val="center"/>
          </w:tcPr>
          <w:p w14:paraId="08B63A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3B1C0C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3BD95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F750D7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D726838">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95B0856">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0B3C32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E2E1587">
            <w:pPr>
              <w:widowControl/>
              <w:spacing w:line="0" w:lineRule="atLeast"/>
              <w:jc w:val="center"/>
              <w:rPr>
                <w:rFonts w:ascii="仿宋" w:hAnsi="仿宋" w:eastAsia="仿宋" w:cs="仿宋"/>
                <w:bCs/>
                <w:spacing w:val="-10"/>
                <w:kern w:val="0"/>
                <w:sz w:val="24"/>
              </w:rPr>
            </w:pPr>
          </w:p>
        </w:tc>
        <w:tc>
          <w:tcPr>
            <w:tcW w:w="992" w:type="dxa"/>
            <w:noWrap w:val="0"/>
            <w:vAlign w:val="center"/>
          </w:tcPr>
          <w:p w14:paraId="37BB3FB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ECC637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大力推进节水，减少新鲜水用量。鼓励锅炉、工业炉窑进行余热利用。工业固体废物综合利用率100%。</w:t>
            </w:r>
          </w:p>
        </w:tc>
      </w:tr>
      <w:tr w14:paraId="5F8B1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AD8485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ZH13040620037</w:t>
            </w:r>
          </w:p>
        </w:tc>
        <w:tc>
          <w:tcPr>
            <w:tcW w:w="567" w:type="dxa"/>
            <w:vMerge w:val="restart"/>
            <w:noWrap w:val="0"/>
            <w:vAlign w:val="center"/>
          </w:tcPr>
          <w:p w14:paraId="6941E30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248671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彭城镇</w:t>
            </w:r>
          </w:p>
        </w:tc>
        <w:tc>
          <w:tcPr>
            <w:tcW w:w="757" w:type="dxa"/>
            <w:vMerge w:val="restart"/>
            <w:noWrap w:val="0"/>
            <w:vAlign w:val="center"/>
          </w:tcPr>
          <w:p w14:paraId="149D0A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08F897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大气环境高排放重点管控区、水环境城镇生活污染重点管控区</w:t>
            </w:r>
          </w:p>
        </w:tc>
        <w:tc>
          <w:tcPr>
            <w:tcW w:w="992" w:type="dxa"/>
            <w:noWrap w:val="0"/>
            <w:vAlign w:val="center"/>
          </w:tcPr>
          <w:p w14:paraId="05E964F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E369A5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控制新增产能，鼓励实施等量或减量置换，依托现有耐火材料生产企业，通过联合重组，“退城入园”，开展技术改造，推进节能减排，生产和推广不定形耐火材料，优化产业结构，提高生产集中度。2.世界遗产地、风景名胜区、生态保护区、饮用水水源保护区等需要特别保护的区域和非工业建设规划区不得新建、扩建耐火材料项目。</w:t>
            </w:r>
          </w:p>
        </w:tc>
      </w:tr>
      <w:tr w14:paraId="638F8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54730D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E0C65D6">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23105E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08064AD">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AA273EE">
            <w:pPr>
              <w:widowControl/>
              <w:spacing w:line="0" w:lineRule="atLeast"/>
              <w:jc w:val="center"/>
              <w:rPr>
                <w:rFonts w:ascii="仿宋" w:hAnsi="仿宋" w:eastAsia="仿宋" w:cs="仿宋"/>
                <w:bCs/>
                <w:spacing w:val="-10"/>
                <w:kern w:val="0"/>
                <w:sz w:val="24"/>
              </w:rPr>
            </w:pPr>
          </w:p>
        </w:tc>
        <w:tc>
          <w:tcPr>
            <w:tcW w:w="992" w:type="dxa"/>
            <w:noWrap w:val="0"/>
            <w:vAlign w:val="center"/>
          </w:tcPr>
          <w:p w14:paraId="38D13AE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0E22269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钢铁、水泥、平板玻璃、陶瓷、焦化、铸造行业企业料堆场按照《煤场、料场、渣场扬尘污染控制技术规范》(DB13/T2352-2016)存储要求，实现规范管理。2.耐火材料行业原料堆场配建围墙和顶盖，破（粉）碎、筛分、均化、输送、成型和成品加工等易产生粉尘的环节，配套除尘装置，防止粉尘无组织排放。含尘气体经处理达标后排放。3.工业炉窑污染物排放满足《工业炉窑大气污染物排放标准》 (DB13/1640-2012)和《关于印发〈河北省工业炉窑综合治理实施方案〉的通知》(冀环大气〔2019〕607号)及“退后十”方案中邯郸限值要求。4.加快完善区域污水管网建设，提高污水收集率，严禁生活污水不经处理直接外排。5.现有及新（改、扩）建向环境水体直接排放污水的排污单位满足《子牙河流域水污染物排放标准》（DB13/2796-2018)相应排放限值要求。</w:t>
            </w:r>
          </w:p>
        </w:tc>
      </w:tr>
      <w:tr w14:paraId="19CD7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E0AC8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540C48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7B07407">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10FDE4B3">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77F29D81">
            <w:pPr>
              <w:widowControl/>
              <w:spacing w:line="0" w:lineRule="atLeast"/>
              <w:jc w:val="center"/>
              <w:rPr>
                <w:rFonts w:ascii="仿宋" w:hAnsi="仿宋" w:eastAsia="仿宋" w:cs="仿宋"/>
                <w:bCs/>
                <w:spacing w:val="-10"/>
                <w:kern w:val="0"/>
                <w:sz w:val="24"/>
              </w:rPr>
            </w:pPr>
          </w:p>
        </w:tc>
        <w:tc>
          <w:tcPr>
            <w:tcW w:w="992" w:type="dxa"/>
            <w:noWrap w:val="0"/>
            <w:vAlign w:val="center"/>
          </w:tcPr>
          <w:p w14:paraId="4CD0CB5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7D69C4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1.堆存含有重金属的原料和固体废物场所配套建设防渗漏设施。2.建立环境管理体系，制定突发环境事件应急预案。</w:t>
            </w:r>
          </w:p>
        </w:tc>
      </w:tr>
      <w:tr w14:paraId="48BE3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BABCA8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E619AD7">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8353314">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7485C0F9">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8580372">
            <w:pPr>
              <w:widowControl/>
              <w:spacing w:line="0" w:lineRule="atLeast"/>
              <w:jc w:val="center"/>
              <w:rPr>
                <w:rFonts w:ascii="仿宋" w:hAnsi="仿宋" w:eastAsia="仿宋" w:cs="仿宋"/>
                <w:bCs/>
                <w:spacing w:val="-10"/>
                <w:kern w:val="0"/>
                <w:sz w:val="24"/>
              </w:rPr>
            </w:pPr>
          </w:p>
        </w:tc>
        <w:tc>
          <w:tcPr>
            <w:tcW w:w="992" w:type="dxa"/>
            <w:noWrap w:val="0"/>
            <w:vAlign w:val="center"/>
          </w:tcPr>
          <w:p w14:paraId="64D498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C9D048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耐火材料企业满足《耐火材料行业规范条件》中“五、节能降耗和综合利用”中表1耐火原料单位产品能耗限额和表2耐火制品单位产品能耗限额的指标要求。2.耐火材料企业回收再利用生产过程产生的碎矿、粉矿和回收的粉尘等固体废物，鼓励回收再利用用后耐火材料。建立雨污分流系统。生产工艺废水回用率不低于90%，污水经治理达标后排放。3.禁燃区内严格按照相应的高污染燃料禁燃区的通告要求执行。</w:t>
            </w:r>
          </w:p>
        </w:tc>
      </w:tr>
      <w:tr w14:paraId="777DE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FB0066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ZH13040620038</w:t>
            </w:r>
          </w:p>
        </w:tc>
        <w:tc>
          <w:tcPr>
            <w:tcW w:w="567" w:type="dxa"/>
            <w:vMerge w:val="restart"/>
            <w:noWrap w:val="0"/>
            <w:vAlign w:val="center"/>
          </w:tcPr>
          <w:p w14:paraId="606403A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1791D6B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大峪镇、界城镇</w:t>
            </w:r>
          </w:p>
        </w:tc>
        <w:tc>
          <w:tcPr>
            <w:tcW w:w="757" w:type="dxa"/>
            <w:vMerge w:val="restart"/>
            <w:noWrap w:val="0"/>
            <w:vAlign w:val="center"/>
          </w:tcPr>
          <w:p w14:paraId="62FC183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3410E3B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大气环境高排放重点管控区、水环境工业污染重点管控区、河北峰峰经济开发区新能源化工产业园</w:t>
            </w:r>
          </w:p>
        </w:tc>
        <w:tc>
          <w:tcPr>
            <w:tcW w:w="992" w:type="dxa"/>
            <w:noWrap w:val="0"/>
            <w:vAlign w:val="center"/>
          </w:tcPr>
          <w:p w14:paraId="62EEA2E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F75813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对不符合开发区产业规划的环保措施完善的现有企业予以保留，允许在不增加区域污染物排放量的情况下进行改造，未来随国家政策的收紧，通过上大压小、适时搬迁或淘汰。位于饮用水源准保护区、暂无搬迁计划的企业，保留现有规模不再扩大，未来随国家产业政策的收紧，通过上大压小、搬迁改造淘汰。入区建设项目必须确保选址地质条件能够满足工程实施要求。《市场准入负面清单》中列出的禁止准入类项目禁止入园。禁止建设生产和使用高VOCs含量的溶剂型涂料、油墨、胶粘剂等项目。</w:t>
            </w:r>
          </w:p>
        </w:tc>
      </w:tr>
      <w:tr w14:paraId="51FED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C17A13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AA9FEDE">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3380EAA">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222F041">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BB0DBD1">
            <w:pPr>
              <w:widowControl/>
              <w:spacing w:line="0" w:lineRule="atLeast"/>
              <w:jc w:val="center"/>
              <w:rPr>
                <w:rFonts w:ascii="仿宋" w:hAnsi="仿宋" w:eastAsia="仿宋" w:cs="仿宋"/>
                <w:bCs/>
                <w:spacing w:val="-10"/>
                <w:kern w:val="0"/>
                <w:sz w:val="24"/>
              </w:rPr>
            </w:pPr>
          </w:p>
        </w:tc>
        <w:tc>
          <w:tcPr>
            <w:tcW w:w="992" w:type="dxa"/>
            <w:noWrap w:val="0"/>
            <w:vAlign w:val="center"/>
          </w:tcPr>
          <w:p w14:paraId="124E224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7F13A3D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1.涉 VOCs排放工业企业污染物排放满足《工业企业挥发性有机物排放控制标准》（DB13/2322-2016）及《挥发性有机物无组织排放控制标准》（GB37822-2019）相应排放限值要求。2.开发区内钢铁、焦化企业污染物排放满足《钢铁工业大气污染物超低排放标准》（DB13/2169-2018）、《炼焦化学工业大气污染物超低排放标准》（DB13/2863-2018）、《河北省钢铁、焦化、燃煤电厂深度减排攻坚方案》（冀气领办〔2018〕156号）等相应排放限值要求。3.加快完善区域污水管网建设，提高污水收集率，严禁生活污水不经处理直接外排。4.现有及新（改、扩）建向环境水体直接排放污水的排污单位满足《子牙河流域水污染物排放标准》（DB13/2796-2018)相应排放限值要求。</w:t>
            </w:r>
          </w:p>
        </w:tc>
      </w:tr>
      <w:tr w14:paraId="494EC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0250B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1BCC526">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05EED5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7EF43B0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D0FC49E">
            <w:pPr>
              <w:widowControl/>
              <w:spacing w:line="0" w:lineRule="atLeast"/>
              <w:jc w:val="center"/>
              <w:rPr>
                <w:rFonts w:ascii="仿宋" w:hAnsi="仿宋" w:eastAsia="仿宋" w:cs="仿宋"/>
                <w:bCs/>
                <w:spacing w:val="-10"/>
                <w:kern w:val="0"/>
                <w:sz w:val="24"/>
              </w:rPr>
            </w:pPr>
          </w:p>
        </w:tc>
        <w:tc>
          <w:tcPr>
            <w:tcW w:w="992" w:type="dxa"/>
            <w:noWrap w:val="0"/>
            <w:vAlign w:val="center"/>
          </w:tcPr>
          <w:p w14:paraId="057EC7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D83CD3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55F2B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79C01B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CF49F29">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655BCF8">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D3EEB6F">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109A492F">
            <w:pPr>
              <w:widowControl/>
              <w:spacing w:line="0" w:lineRule="atLeast"/>
              <w:jc w:val="center"/>
              <w:rPr>
                <w:rFonts w:ascii="仿宋" w:hAnsi="仿宋" w:eastAsia="仿宋" w:cs="仿宋"/>
                <w:bCs/>
                <w:spacing w:val="-10"/>
                <w:kern w:val="0"/>
                <w:sz w:val="24"/>
              </w:rPr>
            </w:pPr>
          </w:p>
        </w:tc>
        <w:tc>
          <w:tcPr>
            <w:tcW w:w="992" w:type="dxa"/>
            <w:noWrap w:val="0"/>
            <w:vAlign w:val="center"/>
          </w:tcPr>
          <w:p w14:paraId="344183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35C35E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大力推进节水，减少新鲜水用量。鼓励锅炉、工业炉窑进行余热利用。工业固体废物综合利用率100%。</w:t>
            </w:r>
          </w:p>
        </w:tc>
      </w:tr>
      <w:tr w14:paraId="025C0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65" w:hRule="atLeast"/>
          <w:jc w:val="center"/>
        </w:trPr>
        <w:tc>
          <w:tcPr>
            <w:tcW w:w="595" w:type="dxa"/>
            <w:vMerge w:val="restart"/>
            <w:noWrap w:val="0"/>
            <w:vAlign w:val="center"/>
          </w:tcPr>
          <w:p w14:paraId="4F47A5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ZH13040620039</w:t>
            </w:r>
          </w:p>
        </w:tc>
        <w:tc>
          <w:tcPr>
            <w:tcW w:w="567" w:type="dxa"/>
            <w:vMerge w:val="restart"/>
            <w:noWrap w:val="0"/>
            <w:vAlign w:val="center"/>
          </w:tcPr>
          <w:p w14:paraId="4ECAAA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06E705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大峪镇、滏阳东路街道、西固义乡</w:t>
            </w:r>
          </w:p>
        </w:tc>
        <w:tc>
          <w:tcPr>
            <w:tcW w:w="757" w:type="dxa"/>
            <w:vMerge w:val="restart"/>
            <w:noWrap w:val="0"/>
            <w:vAlign w:val="center"/>
          </w:tcPr>
          <w:p w14:paraId="532E76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73742F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大气环境高排放重点管控区、水环境工业污染重点管控区、河北峰峰经济开发区电子信息与高端装备产业园</w:t>
            </w:r>
          </w:p>
        </w:tc>
        <w:tc>
          <w:tcPr>
            <w:tcW w:w="992" w:type="dxa"/>
            <w:noWrap w:val="0"/>
            <w:vAlign w:val="center"/>
          </w:tcPr>
          <w:p w14:paraId="325CB2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57A861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峰峰矿区新清流村西南1000米砂岩采场应按照国家《绿色矿山建设规范》要求，推动露天矿山绿色标准化建设。2.对不符合开发区产业规划的环保措施完善的现有企业予以保留，允许在不增加区域污染物排放量的情况下进行改造，未来随国家政策的收紧，通过上大压小、适时搬迁或淘汰。位于饮用水源准保护区、暂无搬迁计划的企业，保留现有规模不再扩大，未来随国家产业政策的收紧，通过上大压小、搬迁改造淘汰。入区建设项目必须确保选址地质条件能够满足工程实施要求。《市场准入负面清单》中列出的禁止准入类项目禁止入园。禁止建设生产和使用高VOCs含量的溶剂型涂料、油墨、胶粘剂等项目。</w:t>
            </w:r>
          </w:p>
        </w:tc>
      </w:tr>
      <w:tr w14:paraId="3780A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23" w:hRule="atLeast"/>
          <w:jc w:val="center"/>
        </w:trPr>
        <w:tc>
          <w:tcPr>
            <w:tcW w:w="595" w:type="dxa"/>
            <w:vMerge w:val="continue"/>
            <w:noWrap w:val="0"/>
            <w:vAlign w:val="center"/>
          </w:tcPr>
          <w:p w14:paraId="32DA46C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5D0D762">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67869D5">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6E3ACEE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8151A5A">
            <w:pPr>
              <w:widowControl/>
              <w:spacing w:line="0" w:lineRule="atLeast"/>
              <w:jc w:val="center"/>
              <w:rPr>
                <w:rFonts w:ascii="仿宋" w:hAnsi="仿宋" w:eastAsia="仿宋" w:cs="仿宋"/>
                <w:bCs/>
                <w:spacing w:val="-10"/>
                <w:kern w:val="0"/>
                <w:sz w:val="24"/>
              </w:rPr>
            </w:pPr>
          </w:p>
        </w:tc>
        <w:tc>
          <w:tcPr>
            <w:tcW w:w="992" w:type="dxa"/>
            <w:noWrap w:val="0"/>
            <w:vAlign w:val="center"/>
          </w:tcPr>
          <w:p w14:paraId="0C3205F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7D3EE9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内钢铁、焦化企业污染物排放满足《钢铁工业大气污染物超低排放标准》（DB13/2169-2018）、《炼焦化学工业大气污染物超低排放标准》（DB13/2863-2018）、《河北省钢铁、焦化、燃煤电厂深度减排攻坚方案》（冀气领办〔2018〕156号）等相应排放限值要求；其他工业企业污染物排放满足《工业企业挥发性有机物排放控制标准》（DB13/2322-2016）、《挥发性有机物无组织排放控制标准》（GB37822-2019）、《锅炉大气污染物排放标准》（DB13/5161-2020）相应排放限值要求。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2FEBE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50" w:hRule="atLeast"/>
          <w:jc w:val="center"/>
        </w:trPr>
        <w:tc>
          <w:tcPr>
            <w:tcW w:w="595" w:type="dxa"/>
            <w:vMerge w:val="continue"/>
            <w:noWrap w:val="0"/>
            <w:vAlign w:val="center"/>
          </w:tcPr>
          <w:p w14:paraId="2A679D3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4EA1A1">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27BD7CB">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7E0B566">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0CDEA5B9">
            <w:pPr>
              <w:widowControl/>
              <w:spacing w:line="0" w:lineRule="atLeast"/>
              <w:jc w:val="center"/>
              <w:rPr>
                <w:rFonts w:ascii="仿宋" w:hAnsi="仿宋" w:eastAsia="仿宋" w:cs="仿宋"/>
                <w:bCs/>
                <w:spacing w:val="-10"/>
                <w:kern w:val="0"/>
                <w:sz w:val="24"/>
              </w:rPr>
            </w:pPr>
          </w:p>
        </w:tc>
        <w:tc>
          <w:tcPr>
            <w:tcW w:w="992" w:type="dxa"/>
            <w:noWrap w:val="0"/>
            <w:vAlign w:val="center"/>
          </w:tcPr>
          <w:p w14:paraId="0FAAC9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3348C4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74C9A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58" w:hRule="atLeast"/>
          <w:jc w:val="center"/>
        </w:trPr>
        <w:tc>
          <w:tcPr>
            <w:tcW w:w="595" w:type="dxa"/>
            <w:vMerge w:val="continue"/>
            <w:noWrap w:val="0"/>
            <w:vAlign w:val="center"/>
          </w:tcPr>
          <w:p w14:paraId="5E6BF6C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52980C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7EAD28B">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0CB632F9">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7E9E05A">
            <w:pPr>
              <w:widowControl/>
              <w:spacing w:line="0" w:lineRule="atLeast"/>
              <w:jc w:val="center"/>
              <w:rPr>
                <w:rFonts w:ascii="仿宋" w:hAnsi="仿宋" w:eastAsia="仿宋" w:cs="仿宋"/>
                <w:bCs/>
                <w:spacing w:val="-10"/>
                <w:kern w:val="0"/>
                <w:sz w:val="24"/>
              </w:rPr>
            </w:pPr>
          </w:p>
        </w:tc>
        <w:tc>
          <w:tcPr>
            <w:tcW w:w="992" w:type="dxa"/>
            <w:noWrap w:val="0"/>
            <w:vAlign w:val="center"/>
          </w:tcPr>
          <w:p w14:paraId="2710AD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B0B79E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大力推进节水，减少新鲜水用量。鼓励锅炉、工业炉窑进行余热利用。工业固体废物综合利用率100%。</w:t>
            </w:r>
          </w:p>
        </w:tc>
      </w:tr>
      <w:tr w14:paraId="7118A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4" w:hRule="atLeast"/>
          <w:jc w:val="center"/>
        </w:trPr>
        <w:tc>
          <w:tcPr>
            <w:tcW w:w="595" w:type="dxa"/>
            <w:vMerge w:val="restart"/>
            <w:noWrap w:val="0"/>
            <w:vAlign w:val="center"/>
          </w:tcPr>
          <w:p w14:paraId="37163E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ZH13040620040</w:t>
            </w:r>
          </w:p>
        </w:tc>
        <w:tc>
          <w:tcPr>
            <w:tcW w:w="567" w:type="dxa"/>
            <w:vMerge w:val="restart"/>
            <w:noWrap w:val="0"/>
            <w:vAlign w:val="center"/>
          </w:tcPr>
          <w:p w14:paraId="7105C0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4730D52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峰峰镇</w:t>
            </w:r>
          </w:p>
        </w:tc>
        <w:tc>
          <w:tcPr>
            <w:tcW w:w="757" w:type="dxa"/>
            <w:vMerge w:val="restart"/>
            <w:noWrap w:val="0"/>
            <w:vAlign w:val="center"/>
          </w:tcPr>
          <w:p w14:paraId="7BEB945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7B3708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大气环境高排放重点管控区、水环境工业污染重点管控区、河北峰峰经济开发区钢铁装备产业园</w:t>
            </w:r>
          </w:p>
        </w:tc>
        <w:tc>
          <w:tcPr>
            <w:tcW w:w="992" w:type="dxa"/>
            <w:noWrap w:val="0"/>
            <w:vAlign w:val="center"/>
          </w:tcPr>
          <w:p w14:paraId="2E8285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BB40371">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对不符合开发区产业规划的环保措施完善的现有企业予以保留，允许在不增加区域污染物排放量的情况下进行改造，未来随国家政策的收紧，通过上大压小、适时搬迁或淘汰。位于饮用水源准保护区、暂无搬迁计划的企业，保留现有规模不再扩大，未来随国家产业政策的收紧，通过上大压小、搬迁改造淘汰。入区建设项目必须确保选址地质条件能够满足工程实施要求。《市场准入负面清单》中列出的禁止准入类项目禁止入园。禁止建设生产和使用高VOCs含量的溶剂型涂料、油墨、胶粘剂等项目。</w:t>
            </w:r>
          </w:p>
        </w:tc>
      </w:tr>
      <w:tr w14:paraId="37BFC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26" w:hRule="atLeast"/>
          <w:jc w:val="center"/>
        </w:trPr>
        <w:tc>
          <w:tcPr>
            <w:tcW w:w="595" w:type="dxa"/>
            <w:vMerge w:val="continue"/>
            <w:noWrap w:val="0"/>
            <w:vAlign w:val="center"/>
          </w:tcPr>
          <w:p w14:paraId="3FB77A1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D26B5A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07423E6">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53650DBE">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51416D5">
            <w:pPr>
              <w:widowControl/>
              <w:spacing w:line="0" w:lineRule="atLeast"/>
              <w:jc w:val="center"/>
              <w:rPr>
                <w:rFonts w:ascii="仿宋" w:hAnsi="仿宋" w:eastAsia="仿宋" w:cs="仿宋"/>
                <w:bCs/>
                <w:spacing w:val="-10"/>
                <w:kern w:val="0"/>
                <w:sz w:val="24"/>
              </w:rPr>
            </w:pPr>
          </w:p>
        </w:tc>
        <w:tc>
          <w:tcPr>
            <w:tcW w:w="992" w:type="dxa"/>
            <w:noWrap w:val="0"/>
            <w:vAlign w:val="center"/>
          </w:tcPr>
          <w:p w14:paraId="1E350AD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DE2FBD0">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开发区内钢铁、焦化企业污染物排放满足《钢铁工业大气污染物超低排放标准》（DB13/2169-2018）、《炼焦化学工业大气污染物超低排放标准》（DB13/2863-2018）、《河北省钢铁、焦化、燃煤电厂深度减排攻坚方案》（冀气领办〔2018〕156号）等相应排放限值要求；其他工业企业污染物排放满足《工业企业挥发性有机物排放控制标准》（DB13/2322-2016）、《挥发性有机物无组织排放控制标准》（GB37822-2019）、《锅炉大气污染物排放标准》（DB13/5161-2020）相应排放限值要求。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1D03B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12F009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651B484">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3005FAF">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02064E5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A199A0A">
            <w:pPr>
              <w:widowControl/>
              <w:spacing w:line="0" w:lineRule="atLeast"/>
              <w:jc w:val="center"/>
              <w:rPr>
                <w:rFonts w:ascii="仿宋" w:hAnsi="仿宋" w:eastAsia="仿宋" w:cs="仿宋"/>
                <w:bCs/>
                <w:spacing w:val="-10"/>
                <w:kern w:val="0"/>
                <w:sz w:val="24"/>
              </w:rPr>
            </w:pPr>
          </w:p>
        </w:tc>
        <w:tc>
          <w:tcPr>
            <w:tcW w:w="992" w:type="dxa"/>
            <w:noWrap w:val="0"/>
            <w:vAlign w:val="center"/>
          </w:tcPr>
          <w:p w14:paraId="7F63FF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E4613A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01CB1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4A3C51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2BCEA15">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7839B67">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349C170">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2266880">
            <w:pPr>
              <w:widowControl/>
              <w:spacing w:line="0" w:lineRule="atLeast"/>
              <w:jc w:val="center"/>
              <w:rPr>
                <w:rFonts w:ascii="仿宋" w:hAnsi="仿宋" w:eastAsia="仿宋" w:cs="仿宋"/>
                <w:bCs/>
                <w:spacing w:val="-10"/>
                <w:kern w:val="0"/>
                <w:sz w:val="24"/>
              </w:rPr>
            </w:pPr>
          </w:p>
        </w:tc>
        <w:tc>
          <w:tcPr>
            <w:tcW w:w="992" w:type="dxa"/>
            <w:noWrap w:val="0"/>
            <w:vAlign w:val="center"/>
          </w:tcPr>
          <w:p w14:paraId="5C2F82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3E0133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大力推进节水，减少新鲜水用量。鼓励锅炉、工业炉窑进行余热利用。工业固体废物综合利用率100%。</w:t>
            </w:r>
          </w:p>
        </w:tc>
      </w:tr>
      <w:tr w14:paraId="7E66B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D8BC3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ZH13040620041</w:t>
            </w:r>
          </w:p>
        </w:tc>
        <w:tc>
          <w:tcPr>
            <w:tcW w:w="567" w:type="dxa"/>
            <w:vMerge w:val="restart"/>
            <w:noWrap w:val="0"/>
            <w:vAlign w:val="center"/>
          </w:tcPr>
          <w:p w14:paraId="2E87AA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44307E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和村镇</w:t>
            </w:r>
          </w:p>
        </w:tc>
        <w:tc>
          <w:tcPr>
            <w:tcW w:w="757" w:type="dxa"/>
            <w:vMerge w:val="restart"/>
            <w:noWrap w:val="0"/>
            <w:vAlign w:val="center"/>
          </w:tcPr>
          <w:p w14:paraId="5DE6533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13003AC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水环境工业污染重点管控区 大气环境高排放重点管控区 大气环境弱扩散重点管控区、河北峰峰经济开发区现代化升级产业园</w:t>
            </w:r>
          </w:p>
        </w:tc>
        <w:tc>
          <w:tcPr>
            <w:tcW w:w="992" w:type="dxa"/>
            <w:noWrap w:val="0"/>
            <w:vAlign w:val="center"/>
          </w:tcPr>
          <w:p w14:paraId="2D7260F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D8C16C8">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对不符合开发区产业规划的环保措施完善的现有企业予以保留，允许在不增加区域污染物排放量的情况下进行改造，未来随国家政策的收紧，通过上大压小、适时搬迁或淘汰。位于饮用水源准保护区、暂无搬迁计划的企业，保留现有规模不再扩大，未来随国家产业政策的收紧，通过上大压小、搬迁改造淘汰。入区建设项目必须确保选址地质条件能够满足工程实施要求。《市场准入负面清单》中列出的禁止准入类项目禁止入园。禁止建设生产和使用高VOCs含量的溶剂型涂料、油墨、胶粘剂等项目。</w:t>
            </w:r>
          </w:p>
        </w:tc>
      </w:tr>
      <w:tr w14:paraId="091B3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23" w:hRule="atLeast"/>
          <w:jc w:val="center"/>
        </w:trPr>
        <w:tc>
          <w:tcPr>
            <w:tcW w:w="595" w:type="dxa"/>
            <w:vMerge w:val="continue"/>
            <w:noWrap w:val="0"/>
            <w:vAlign w:val="center"/>
          </w:tcPr>
          <w:p w14:paraId="15DB412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10665DE">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7DFB97E">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7206A0D0">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77DF8359">
            <w:pPr>
              <w:widowControl/>
              <w:spacing w:line="0" w:lineRule="atLeast"/>
              <w:jc w:val="center"/>
              <w:rPr>
                <w:rFonts w:ascii="仿宋" w:hAnsi="仿宋" w:eastAsia="仿宋" w:cs="仿宋"/>
                <w:bCs/>
                <w:spacing w:val="-10"/>
                <w:kern w:val="0"/>
                <w:sz w:val="24"/>
              </w:rPr>
            </w:pPr>
          </w:p>
        </w:tc>
        <w:tc>
          <w:tcPr>
            <w:tcW w:w="992" w:type="dxa"/>
            <w:noWrap w:val="0"/>
            <w:vAlign w:val="center"/>
          </w:tcPr>
          <w:p w14:paraId="300947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38FC5BE">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开发区内钢铁、焦化企业污染物排放满足《钢铁工业大气污染物超低排放标准》（DB13/2169-2018）、《炼焦化学工业大气污染物超低排放标准》（DB13/2863-2018）、《河北省钢铁、焦化、燃煤电厂深度减排攻坚方案》（冀气领办〔2018〕156号）等相应排放限值要求；其他工业企业污染物排放满足《工业企业挥发性有机物排放控制标准》（DB13/2322-2016）、《挥发性有机物无组织排放控制标准》（GB37822-2019）、《锅炉大气污染物排放标准》（DB13/5161-2020）相应排放限值要求。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6E480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89" w:hRule="atLeast"/>
          <w:jc w:val="center"/>
        </w:trPr>
        <w:tc>
          <w:tcPr>
            <w:tcW w:w="595" w:type="dxa"/>
            <w:vMerge w:val="continue"/>
            <w:noWrap w:val="0"/>
            <w:vAlign w:val="center"/>
          </w:tcPr>
          <w:p w14:paraId="4B07D4A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D3A8D85">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B8F5F18">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3AB24C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7845B619">
            <w:pPr>
              <w:widowControl/>
              <w:spacing w:line="0" w:lineRule="atLeast"/>
              <w:jc w:val="center"/>
              <w:rPr>
                <w:rFonts w:ascii="仿宋" w:hAnsi="仿宋" w:eastAsia="仿宋" w:cs="仿宋"/>
                <w:bCs/>
                <w:spacing w:val="-10"/>
                <w:kern w:val="0"/>
                <w:sz w:val="24"/>
              </w:rPr>
            </w:pPr>
          </w:p>
        </w:tc>
        <w:tc>
          <w:tcPr>
            <w:tcW w:w="992" w:type="dxa"/>
            <w:noWrap w:val="0"/>
            <w:vAlign w:val="center"/>
          </w:tcPr>
          <w:p w14:paraId="6DD3CD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5DF0666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08E68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AA7B16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F90FA6B">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6CF42CE">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66B8D77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5B17C44">
            <w:pPr>
              <w:widowControl/>
              <w:spacing w:line="0" w:lineRule="atLeast"/>
              <w:jc w:val="center"/>
              <w:rPr>
                <w:rFonts w:ascii="仿宋" w:hAnsi="仿宋" w:eastAsia="仿宋" w:cs="仿宋"/>
                <w:bCs/>
                <w:spacing w:val="-10"/>
                <w:kern w:val="0"/>
                <w:sz w:val="24"/>
              </w:rPr>
            </w:pPr>
          </w:p>
        </w:tc>
        <w:tc>
          <w:tcPr>
            <w:tcW w:w="992" w:type="dxa"/>
            <w:noWrap w:val="0"/>
            <w:vAlign w:val="center"/>
          </w:tcPr>
          <w:p w14:paraId="255596E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90706F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大力推进节水，减少新鲜水用量。鼓励锅炉、工业炉窑进行余热利用。工业固体废物综合利用率100%。</w:t>
            </w:r>
          </w:p>
        </w:tc>
      </w:tr>
      <w:tr w14:paraId="7EDB2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FE90F4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ZH13040620042</w:t>
            </w:r>
          </w:p>
        </w:tc>
        <w:tc>
          <w:tcPr>
            <w:tcW w:w="567" w:type="dxa"/>
            <w:vMerge w:val="restart"/>
            <w:noWrap w:val="0"/>
            <w:vAlign w:val="center"/>
          </w:tcPr>
          <w:p w14:paraId="1FF41B2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545E53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和村镇、义井镇</w:t>
            </w:r>
          </w:p>
        </w:tc>
        <w:tc>
          <w:tcPr>
            <w:tcW w:w="757" w:type="dxa"/>
            <w:vMerge w:val="restart"/>
            <w:noWrap w:val="0"/>
            <w:vAlign w:val="center"/>
          </w:tcPr>
          <w:p w14:paraId="0C118A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54C8F6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 xml:space="preserve">水环境工业污染重点管控区 大气环境高排放重点管控区、 大气环境弱扩散重点管控区、河北峰峰经济开发区非金属材料产业园 </w:t>
            </w:r>
          </w:p>
        </w:tc>
        <w:tc>
          <w:tcPr>
            <w:tcW w:w="992" w:type="dxa"/>
            <w:noWrap w:val="0"/>
            <w:vAlign w:val="center"/>
          </w:tcPr>
          <w:p w14:paraId="321800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8378918">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禁止新上100万平方米/年(不含)以下的建筑陶瓷砖、20万件/年(不含)以下卫生陶瓷生产线；禁止新上建筑卫生陶瓷(不包括建筑琉璃制品)土窑、倒焰窑、多孔窑、煤烧明焰隧道窑、隔焰隧道窑、匣钵装卫生陶瓷隧道窑、建筑陶瓷砖成型用的摩擦压砖机等设施。</w:t>
            </w:r>
          </w:p>
        </w:tc>
      </w:tr>
      <w:tr w14:paraId="4EC10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179F0F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977D203">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4D5DC4C">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7A7132A">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780B5E51">
            <w:pPr>
              <w:widowControl/>
              <w:spacing w:line="0" w:lineRule="atLeast"/>
              <w:jc w:val="center"/>
              <w:rPr>
                <w:rFonts w:ascii="仿宋" w:hAnsi="仿宋" w:eastAsia="仿宋" w:cs="仿宋"/>
                <w:bCs/>
                <w:spacing w:val="-10"/>
                <w:kern w:val="0"/>
                <w:sz w:val="24"/>
              </w:rPr>
            </w:pPr>
          </w:p>
        </w:tc>
        <w:tc>
          <w:tcPr>
            <w:tcW w:w="992" w:type="dxa"/>
            <w:noWrap w:val="0"/>
            <w:vAlign w:val="center"/>
          </w:tcPr>
          <w:p w14:paraId="201B83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2D0BB4C">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1.开展日用陶瓷、陈设艺术瓷、特种陶瓷企业脱硝深度治理改造。2.工业炉窑污染物排放满足《工业炉窑大气污染物排放标准》 (DB13/1640-2012)和《关于印发〈河北省工业炉窑</w:t>
            </w:r>
            <w:r>
              <w:rPr>
                <w:rFonts w:hint="eastAsia" w:ascii="仿宋" w:hAnsi="仿宋" w:eastAsia="仿宋" w:cs="仿宋"/>
                <w:bCs/>
                <w:spacing w:val="-16"/>
                <w:kern w:val="0"/>
                <w:sz w:val="24"/>
                <w:lang w:eastAsia="zh-CN"/>
              </w:rPr>
              <w:t>综合治理实施方案〉</w:t>
            </w:r>
            <w:r>
              <w:rPr>
                <w:rFonts w:hint="eastAsia" w:ascii="仿宋" w:hAnsi="仿宋" w:eastAsia="仿宋" w:cs="仿宋"/>
                <w:bCs/>
                <w:spacing w:val="-16"/>
                <w:kern w:val="0"/>
                <w:sz w:val="24"/>
              </w:rPr>
              <w:t>的通知》(冀环大气〔2019〕607号)及“退后十”方案中邯郸限值要求。3.加快完善区域污水管网建设，提高污水收集率，严禁生活污水不经处理直接外排。4.现有及新（改、扩）建向环境水体直接排放污水的排污单位满足《子牙河流域水污染物排放标准》（DB13/2796-2018)相应排放限值要求。</w:t>
            </w:r>
          </w:p>
        </w:tc>
      </w:tr>
      <w:tr w14:paraId="17E1B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79A6D3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862F2F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599A25D">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0C88A353">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50AC0DBA">
            <w:pPr>
              <w:widowControl/>
              <w:spacing w:line="0" w:lineRule="atLeast"/>
              <w:jc w:val="center"/>
              <w:rPr>
                <w:rFonts w:ascii="仿宋" w:hAnsi="仿宋" w:eastAsia="仿宋" w:cs="仿宋"/>
                <w:bCs/>
                <w:spacing w:val="-10"/>
                <w:kern w:val="0"/>
                <w:sz w:val="24"/>
              </w:rPr>
            </w:pPr>
          </w:p>
        </w:tc>
        <w:tc>
          <w:tcPr>
            <w:tcW w:w="992" w:type="dxa"/>
            <w:noWrap w:val="0"/>
            <w:vAlign w:val="center"/>
          </w:tcPr>
          <w:p w14:paraId="3C57AE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481C2A2">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开发区应加强管理，严格落实规划环评及企业环评提出的风险防范措施，结合开发区突发环境事件应急预案，进一步指导开发区风险污染防控。</w:t>
            </w:r>
          </w:p>
        </w:tc>
      </w:tr>
      <w:tr w14:paraId="2317C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53D3A4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F4AC61C">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5AAC06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1F018CB">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7002B0CC">
            <w:pPr>
              <w:widowControl/>
              <w:spacing w:line="0" w:lineRule="atLeast"/>
              <w:jc w:val="center"/>
              <w:rPr>
                <w:rFonts w:ascii="仿宋" w:hAnsi="仿宋" w:eastAsia="仿宋" w:cs="仿宋"/>
                <w:bCs/>
                <w:spacing w:val="-10"/>
                <w:kern w:val="0"/>
                <w:sz w:val="24"/>
              </w:rPr>
            </w:pPr>
          </w:p>
        </w:tc>
        <w:tc>
          <w:tcPr>
            <w:tcW w:w="992" w:type="dxa"/>
            <w:noWrap w:val="0"/>
            <w:vAlign w:val="center"/>
          </w:tcPr>
          <w:p w14:paraId="1A69D5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7D92E2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大力推进节水，减少新鲜水用量。鼓励锅炉、工业炉窑进行余热利用。工业固体废物综合利用率100%。</w:t>
            </w:r>
          </w:p>
        </w:tc>
      </w:tr>
      <w:tr w14:paraId="4DAB8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56FB1C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ZH13040620043</w:t>
            </w:r>
          </w:p>
        </w:tc>
        <w:tc>
          <w:tcPr>
            <w:tcW w:w="567" w:type="dxa"/>
            <w:vMerge w:val="restart"/>
            <w:noWrap w:val="0"/>
            <w:vAlign w:val="center"/>
          </w:tcPr>
          <w:p w14:paraId="154EC1F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76EE0A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和村镇、义井镇</w:t>
            </w:r>
          </w:p>
        </w:tc>
        <w:tc>
          <w:tcPr>
            <w:tcW w:w="757" w:type="dxa"/>
            <w:vMerge w:val="restart"/>
            <w:noWrap w:val="0"/>
            <w:vAlign w:val="center"/>
          </w:tcPr>
          <w:p w14:paraId="603CF30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1C7B790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大气环境弱扩散重点管控区、水环境城镇生活污染重点管控区</w:t>
            </w:r>
          </w:p>
        </w:tc>
        <w:tc>
          <w:tcPr>
            <w:tcW w:w="992" w:type="dxa"/>
            <w:noWrap w:val="0"/>
            <w:vAlign w:val="center"/>
          </w:tcPr>
          <w:p w14:paraId="21302FF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57CC59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新建涉水企业原则上均应建在工业园区内，推动现有工业企业入园。2.禁止新上100万平方米/年(不含)以下的建筑陶瓷砖、20万件/年(不含)以下卫生陶瓷生产线；禁止新上建筑卫生陶瓷(不包括建筑琉璃制品)土窑、倒焰窑、多孔窑、煤烧明焰隧道窑、隔焰隧道窑、匣钵装卫生陶瓷隧道窑、建筑陶瓷砖成型用的摩擦压砖机等设施。3.洗煤厂应设原煤储存设施。在人口集中的城镇附近的选煤厂、储配煤场，应采用封闭方式储存原煤。4.按照国家《绿色矿山建设规范》要求，推动露天矿山绿色标准化建设。</w:t>
            </w:r>
          </w:p>
        </w:tc>
      </w:tr>
      <w:tr w14:paraId="0229AA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34" w:hRule="atLeast"/>
          <w:jc w:val="center"/>
        </w:trPr>
        <w:tc>
          <w:tcPr>
            <w:tcW w:w="595" w:type="dxa"/>
            <w:vMerge w:val="continue"/>
            <w:noWrap w:val="0"/>
            <w:vAlign w:val="center"/>
          </w:tcPr>
          <w:p w14:paraId="6B5F633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7CA2FF7">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07561C8C">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915E444">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6C772742">
            <w:pPr>
              <w:widowControl/>
              <w:spacing w:line="0" w:lineRule="atLeast"/>
              <w:jc w:val="center"/>
              <w:rPr>
                <w:rFonts w:ascii="仿宋" w:hAnsi="仿宋" w:eastAsia="仿宋" w:cs="仿宋"/>
                <w:bCs/>
                <w:spacing w:val="-10"/>
                <w:kern w:val="0"/>
                <w:sz w:val="24"/>
              </w:rPr>
            </w:pPr>
          </w:p>
        </w:tc>
        <w:tc>
          <w:tcPr>
            <w:tcW w:w="992" w:type="dxa"/>
            <w:noWrap w:val="0"/>
            <w:vAlign w:val="center"/>
          </w:tcPr>
          <w:p w14:paraId="7D57E7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51AE2F1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陶瓷行业要严格按照行业超低排放标准要求，在确保安全生产的条件下，进一步提高治污设施稳定运行性和污染物去除效率，稳定达标排放，实现超低排放新常态。2.开展日用陶瓷、陈设艺术瓷、特种陶瓷企业脱硝深度治理改造。3.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4.洗煤厂污染物排放满足《煤炭工业污染物排放标准》(GB20426-2006)中相应排放限值要求。5.对涉粉状物料十大行业按照“退后十”方案中相应要求管理。6.加快完善区域污水管网建设，提高污水收集率，严禁生活污水不经处理直接外排。7.现有及新（改、扩）建向环境水体直接排放污水的排污单位满足《子牙河流域水污染物排放标准》（DB13/2796-2018)相应排放限值要求。</w:t>
            </w:r>
          </w:p>
        </w:tc>
      </w:tr>
      <w:tr w14:paraId="5EB3F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16" w:hRule="atLeast"/>
          <w:jc w:val="center"/>
        </w:trPr>
        <w:tc>
          <w:tcPr>
            <w:tcW w:w="595" w:type="dxa"/>
            <w:vMerge w:val="continue"/>
            <w:noWrap w:val="0"/>
            <w:vAlign w:val="center"/>
          </w:tcPr>
          <w:p w14:paraId="198ABF1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4D53276">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D451F4D">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4385A1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B664C81">
            <w:pPr>
              <w:widowControl/>
              <w:spacing w:line="0" w:lineRule="atLeast"/>
              <w:jc w:val="center"/>
              <w:rPr>
                <w:rFonts w:ascii="仿宋" w:hAnsi="仿宋" w:eastAsia="仿宋" w:cs="仿宋"/>
                <w:bCs/>
                <w:spacing w:val="-10"/>
                <w:kern w:val="0"/>
                <w:sz w:val="24"/>
              </w:rPr>
            </w:pPr>
          </w:p>
        </w:tc>
        <w:tc>
          <w:tcPr>
            <w:tcW w:w="992" w:type="dxa"/>
            <w:noWrap w:val="0"/>
            <w:vAlign w:val="center"/>
          </w:tcPr>
          <w:p w14:paraId="784270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6946CC5">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1.确定地下水污染来源和路径，进行污染风险评估，确定修复目标和风险管控目标。2.</w:t>
            </w:r>
            <w:r>
              <w:rPr>
                <w:rFonts w:hint="eastAsia" w:ascii="仿宋" w:hAnsi="仿宋" w:eastAsia="仿宋" w:cs="仿宋"/>
                <w:bCs/>
                <w:spacing w:val="-10"/>
                <w:kern w:val="0"/>
                <w:sz w:val="24"/>
              </w:rPr>
              <w:t>尾矿、矸石、废石等矿业固体废物贮存设施停止使用后，矿山企业应当按照国家有关环境保护规定进行封场，防止造成环境污染和生态破坏。</w:t>
            </w:r>
          </w:p>
        </w:tc>
      </w:tr>
      <w:tr w14:paraId="2CF4D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0" w:hRule="atLeast"/>
          <w:jc w:val="center"/>
        </w:trPr>
        <w:tc>
          <w:tcPr>
            <w:tcW w:w="595" w:type="dxa"/>
            <w:vMerge w:val="continue"/>
            <w:noWrap w:val="0"/>
            <w:vAlign w:val="center"/>
          </w:tcPr>
          <w:p w14:paraId="75F35FC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FA9F0D3">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BD64A5A">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0544B6E5">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8CA7CAB">
            <w:pPr>
              <w:widowControl/>
              <w:spacing w:line="0" w:lineRule="atLeast"/>
              <w:jc w:val="center"/>
              <w:rPr>
                <w:rFonts w:ascii="仿宋" w:hAnsi="仿宋" w:eastAsia="仿宋" w:cs="仿宋"/>
                <w:bCs/>
                <w:spacing w:val="-10"/>
                <w:kern w:val="0"/>
                <w:sz w:val="24"/>
              </w:rPr>
            </w:pPr>
          </w:p>
        </w:tc>
        <w:tc>
          <w:tcPr>
            <w:tcW w:w="992" w:type="dxa"/>
            <w:noWrap w:val="0"/>
            <w:vAlign w:val="center"/>
          </w:tcPr>
          <w:p w14:paraId="5261478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E08C8F0">
            <w:pPr>
              <w:widowControl/>
              <w:spacing w:line="0" w:lineRule="atLeast"/>
              <w:ind w:firstLine="480" w:firstLineChars="200"/>
              <w:rPr>
                <w:rFonts w:ascii="仿宋" w:hAnsi="仿宋" w:eastAsia="仿宋" w:cs="仿宋"/>
                <w:bCs/>
                <w:spacing w:val="-10"/>
                <w:kern w:val="0"/>
                <w:sz w:val="24"/>
              </w:rPr>
            </w:pPr>
            <w:r>
              <w:rPr>
                <w:rFonts w:hint="eastAsia" w:ascii="仿宋" w:hAnsi="仿宋" w:eastAsia="仿宋" w:cs="仿宋"/>
                <w:sz w:val="24"/>
              </w:rPr>
              <w:t>1.卫生陶瓷单位产品综合能耗≤410千克标准煤/吨。2.洗煤厂必须实现洗水闭路循环。</w:t>
            </w:r>
          </w:p>
        </w:tc>
      </w:tr>
      <w:tr w14:paraId="7DB4A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C09427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ZH13040620044</w:t>
            </w:r>
          </w:p>
        </w:tc>
        <w:tc>
          <w:tcPr>
            <w:tcW w:w="567" w:type="dxa"/>
            <w:vMerge w:val="restart"/>
            <w:noWrap w:val="0"/>
            <w:vAlign w:val="center"/>
          </w:tcPr>
          <w:p w14:paraId="4EDC2D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4CD0E864">
            <w:pPr>
              <w:widowControl/>
              <w:spacing w:line="0" w:lineRule="atLeast"/>
              <w:rPr>
                <w:rFonts w:ascii="仿宋" w:hAnsi="仿宋" w:eastAsia="仿宋" w:cs="仿宋"/>
                <w:bCs/>
                <w:spacing w:val="-10"/>
                <w:kern w:val="0"/>
                <w:sz w:val="24"/>
              </w:rPr>
            </w:pPr>
            <w:r>
              <w:rPr>
                <w:rFonts w:hint="eastAsia" w:ascii="仿宋" w:hAnsi="仿宋" w:eastAsia="仿宋" w:cs="仿宋"/>
                <w:bCs/>
                <w:spacing w:val="-10"/>
                <w:kern w:val="0"/>
                <w:sz w:val="24"/>
              </w:rPr>
              <w:t>新坡镇</w:t>
            </w:r>
          </w:p>
        </w:tc>
        <w:tc>
          <w:tcPr>
            <w:tcW w:w="757" w:type="dxa"/>
            <w:vMerge w:val="restart"/>
            <w:noWrap w:val="0"/>
            <w:vAlign w:val="center"/>
          </w:tcPr>
          <w:p w14:paraId="6B04AC6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2275BD8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w:t>
            </w:r>
          </w:p>
        </w:tc>
        <w:tc>
          <w:tcPr>
            <w:tcW w:w="992" w:type="dxa"/>
            <w:noWrap w:val="0"/>
            <w:vAlign w:val="center"/>
          </w:tcPr>
          <w:p w14:paraId="420ED21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46B945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提高VOCs排放重点行业环保准入门槛，严格控制新增污染物排放量。新建涉VOCs排放的工业企业要入园区。3.禁止建设生产和使用高VOCs含量的溶剂型涂料、油墨、胶粘剂等项目。</w:t>
            </w:r>
          </w:p>
        </w:tc>
      </w:tr>
      <w:tr w14:paraId="2A813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383318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9F3F895">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35D652B">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6E4A6334">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E1F611C">
            <w:pPr>
              <w:widowControl/>
              <w:spacing w:line="0" w:lineRule="atLeast"/>
              <w:jc w:val="center"/>
              <w:rPr>
                <w:rFonts w:ascii="仿宋" w:hAnsi="仿宋" w:eastAsia="仿宋" w:cs="仿宋"/>
                <w:bCs/>
                <w:spacing w:val="-10"/>
                <w:kern w:val="0"/>
                <w:sz w:val="24"/>
              </w:rPr>
            </w:pPr>
          </w:p>
        </w:tc>
        <w:tc>
          <w:tcPr>
            <w:tcW w:w="992" w:type="dxa"/>
            <w:noWrap w:val="0"/>
            <w:vAlign w:val="center"/>
          </w:tcPr>
          <w:p w14:paraId="1089AB2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6ABEA346">
            <w:pPr>
              <w:widowControl/>
              <w:spacing w:line="0" w:lineRule="atLeast"/>
              <w:ind w:firstLine="416" w:firstLineChars="200"/>
              <w:rPr>
                <w:rFonts w:ascii="仿宋" w:hAnsi="仿宋" w:eastAsia="仿宋" w:cs="仿宋"/>
                <w:b/>
                <w:bCs/>
                <w:spacing w:val="-16"/>
                <w:kern w:val="0"/>
                <w:sz w:val="24"/>
              </w:rPr>
            </w:pPr>
            <w:r>
              <w:rPr>
                <w:rFonts w:hint="eastAsia" w:ascii="仿宋" w:hAnsi="仿宋" w:eastAsia="仿宋" w:cs="仿宋"/>
                <w:bCs/>
                <w:spacing w:val="-16"/>
                <w:kern w:val="0"/>
                <w:sz w:val="24"/>
              </w:rPr>
              <w:t>1.印刷工业污染物排放满足《工业企业挥发性有机物排放控制标准》(DB13/2322-2016)和《挥发性有机物无组织排放控制标准》(GB37822-2019)中相应排放限值要求。2.印刷工业污染防治措施按照《印刷工业污染防治可行技术指南》(HJ1089-2020)和《关于印发&lt;河北省重点行业挥发性有机物污染控制技术指引&gt;》(冀环大气〔2019〕501号)中要求执行。3.全面加强原辅材料源头替代，从源头减少VOCs产生。涉VOCs重点企业全面执行《挥发性有机物无组织排放控制标准》(GB37822-2019)。选择适宜的废气治理工艺，对VOCs污染源进行有效处理。4.油墨、胶黏剂等有机原辅材料调配和使用等环节，采取车间环境负压改造、安装高效集气装置等措施，有机废气收集率达70%以上；转运、储存等环节，采取密闭措施，减少无组织排放。烘干环节，采取循环风烘干技术，减少废气排放。收集的废气建设吸附回收、吸附燃烧等高效治理设施。5.现有及新（改、扩）建向环境水体直接排放污水的排污单位满足《子牙河流域水污染物排放标准》（DB13/2796-2018)相应排放限值要求。</w:t>
            </w:r>
          </w:p>
        </w:tc>
      </w:tr>
      <w:tr w14:paraId="62811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BB3481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CD80853">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2B44368">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32F697C">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E1B11B1">
            <w:pPr>
              <w:widowControl/>
              <w:spacing w:line="0" w:lineRule="atLeast"/>
              <w:jc w:val="center"/>
              <w:rPr>
                <w:rFonts w:ascii="仿宋" w:hAnsi="仿宋" w:eastAsia="仿宋" w:cs="仿宋"/>
                <w:bCs/>
                <w:spacing w:val="-10"/>
                <w:kern w:val="0"/>
                <w:sz w:val="24"/>
              </w:rPr>
            </w:pPr>
          </w:p>
        </w:tc>
        <w:tc>
          <w:tcPr>
            <w:tcW w:w="992" w:type="dxa"/>
            <w:noWrap w:val="0"/>
            <w:vAlign w:val="center"/>
          </w:tcPr>
          <w:p w14:paraId="5422412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2AC493C">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工艺过程中产生的含VOCs废料(渣、液)满足《挥发性有机物无组织排放控制标准》(GB37822-2019)中的要求。</w:t>
            </w:r>
          </w:p>
        </w:tc>
      </w:tr>
      <w:tr w14:paraId="41F70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EE5D3B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6AF4AF6">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0781161">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656F9308">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67CDEA57">
            <w:pPr>
              <w:widowControl/>
              <w:spacing w:line="0" w:lineRule="atLeast"/>
              <w:jc w:val="center"/>
              <w:rPr>
                <w:rFonts w:ascii="仿宋" w:hAnsi="仿宋" w:eastAsia="仿宋" w:cs="仿宋"/>
                <w:bCs/>
                <w:spacing w:val="-10"/>
                <w:kern w:val="0"/>
                <w:sz w:val="24"/>
              </w:rPr>
            </w:pPr>
          </w:p>
        </w:tc>
        <w:tc>
          <w:tcPr>
            <w:tcW w:w="992" w:type="dxa"/>
            <w:noWrap w:val="0"/>
            <w:vAlign w:val="center"/>
          </w:tcPr>
          <w:p w14:paraId="4C06B4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A469FA2">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spacing w:val="-16"/>
                <w:sz w:val="24"/>
              </w:rPr>
              <w:t>—</w:t>
            </w:r>
          </w:p>
        </w:tc>
      </w:tr>
      <w:tr w14:paraId="31D53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866E1E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ZH13040620045</w:t>
            </w:r>
          </w:p>
        </w:tc>
        <w:tc>
          <w:tcPr>
            <w:tcW w:w="567" w:type="dxa"/>
            <w:vMerge w:val="restart"/>
            <w:noWrap w:val="0"/>
            <w:vAlign w:val="center"/>
          </w:tcPr>
          <w:p w14:paraId="4FC136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612838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滏阳东路街道、临水镇、峰峰镇、彭城镇</w:t>
            </w:r>
          </w:p>
        </w:tc>
        <w:tc>
          <w:tcPr>
            <w:tcW w:w="757" w:type="dxa"/>
            <w:vMerge w:val="restart"/>
            <w:noWrap w:val="0"/>
            <w:vAlign w:val="center"/>
          </w:tcPr>
          <w:p w14:paraId="06FB03D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7F3BAF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w:t>
            </w:r>
          </w:p>
        </w:tc>
        <w:tc>
          <w:tcPr>
            <w:tcW w:w="992" w:type="dxa"/>
            <w:noWrap w:val="0"/>
            <w:vAlign w:val="center"/>
          </w:tcPr>
          <w:p w14:paraId="3E704B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BBCABE5">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项目建设应考虑对周边敏感区的环境影响。2.禁止新上100万平方米/年(不含)以下的建筑陶瓷砖、20万件/年(不含)以下卫生陶瓷生产线；禁止新上建筑卫生陶瓷(不包括建筑琉璃制品)土窑、倒焰窑、多孔窑、煤烧明焰隧道窑、隔焰隧道窑、匣钵装卫生陶瓷隧道窑、建筑陶瓷砖成型用的摩擦压砖机等设施。3.按照国家《绿色矿山建设规范》要求，推动露天矿山绿色标准化建设。</w:t>
            </w:r>
          </w:p>
        </w:tc>
      </w:tr>
      <w:tr w14:paraId="2954F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42" w:hRule="atLeast"/>
          <w:jc w:val="center"/>
        </w:trPr>
        <w:tc>
          <w:tcPr>
            <w:tcW w:w="595" w:type="dxa"/>
            <w:vMerge w:val="continue"/>
            <w:noWrap w:val="0"/>
            <w:vAlign w:val="center"/>
          </w:tcPr>
          <w:p w14:paraId="1CAD2DD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FCF56DF">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0AB1B98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30847169">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00446690">
            <w:pPr>
              <w:widowControl/>
              <w:spacing w:line="0" w:lineRule="atLeast"/>
              <w:jc w:val="center"/>
              <w:rPr>
                <w:rFonts w:ascii="仿宋" w:hAnsi="仿宋" w:eastAsia="仿宋" w:cs="仿宋"/>
                <w:bCs/>
                <w:spacing w:val="-10"/>
                <w:kern w:val="0"/>
                <w:sz w:val="24"/>
              </w:rPr>
            </w:pPr>
          </w:p>
        </w:tc>
        <w:tc>
          <w:tcPr>
            <w:tcW w:w="992" w:type="dxa"/>
            <w:noWrap w:val="0"/>
            <w:vAlign w:val="center"/>
          </w:tcPr>
          <w:p w14:paraId="60D7B2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329B280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陶瓷行业要严格按照行业超低排放标准要求，在确保安全生产的条件下，进一步提高治污设施稳定运行性和污染物去除效率，稳定达标排放，实现超低排放新常态。2.开展日用陶瓷、陈设艺术瓷、特种陶瓷企业脱硝深度治理改造。3.工业炉窑污染物排放满足《工业炉窑大气污染物排放标准》(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4.加快完善区域污水管网建设，提高污水收集率，严禁生活污水不经处理直接外排。5.现有及新（改、扩）建向环境水体直接排放污水的排污单位满足《子牙河流域水污染物排放标准》（DB13/2796-2018)相应排放限值要求。</w:t>
            </w:r>
          </w:p>
        </w:tc>
      </w:tr>
      <w:tr w14:paraId="2E3D7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52309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ECEFFA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0B37D773">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52EECE4">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A39FB71">
            <w:pPr>
              <w:widowControl/>
              <w:spacing w:line="0" w:lineRule="atLeast"/>
              <w:jc w:val="center"/>
              <w:rPr>
                <w:rFonts w:ascii="仿宋" w:hAnsi="仿宋" w:eastAsia="仿宋" w:cs="仿宋"/>
                <w:bCs/>
                <w:spacing w:val="-10"/>
                <w:kern w:val="0"/>
                <w:sz w:val="24"/>
              </w:rPr>
            </w:pPr>
          </w:p>
        </w:tc>
        <w:tc>
          <w:tcPr>
            <w:tcW w:w="992" w:type="dxa"/>
            <w:noWrap w:val="0"/>
            <w:vAlign w:val="center"/>
          </w:tcPr>
          <w:p w14:paraId="462D77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3AA0F8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尾矿、矸石、废石等矿业固体废物贮存设施停止使用后，矿山企业应当按照国家有关环境保护规定进行封场，防止造成环境污染和生态破坏。</w:t>
            </w:r>
          </w:p>
        </w:tc>
      </w:tr>
      <w:tr w14:paraId="53F7A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CF5895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631878F">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D104CA5">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4DF0C86">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033A79E0">
            <w:pPr>
              <w:widowControl/>
              <w:spacing w:line="0" w:lineRule="atLeast"/>
              <w:jc w:val="center"/>
              <w:rPr>
                <w:rFonts w:ascii="仿宋" w:hAnsi="仿宋" w:eastAsia="仿宋" w:cs="仿宋"/>
                <w:bCs/>
                <w:spacing w:val="-10"/>
                <w:kern w:val="0"/>
                <w:sz w:val="24"/>
              </w:rPr>
            </w:pPr>
          </w:p>
        </w:tc>
        <w:tc>
          <w:tcPr>
            <w:tcW w:w="992" w:type="dxa"/>
            <w:noWrap w:val="0"/>
            <w:vAlign w:val="center"/>
          </w:tcPr>
          <w:p w14:paraId="20DDF61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A7035FE">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1.卫生</w:t>
            </w:r>
            <w:r>
              <w:rPr>
                <w:rFonts w:hint="eastAsia" w:ascii="仿宋" w:hAnsi="仿宋" w:eastAsia="仿宋" w:cs="仿宋"/>
                <w:bCs/>
                <w:spacing w:val="-10"/>
                <w:kern w:val="0"/>
                <w:sz w:val="24"/>
              </w:rPr>
              <w:t>陶瓷</w:t>
            </w:r>
            <w:r>
              <w:rPr>
                <w:rFonts w:hint="eastAsia" w:ascii="仿宋" w:hAnsi="仿宋" w:eastAsia="仿宋" w:cs="仿宋"/>
                <w:spacing w:val="-10"/>
                <w:sz w:val="24"/>
              </w:rPr>
              <w:t>单位产品综合能耗≤410千克标准煤/吨。</w:t>
            </w:r>
          </w:p>
        </w:tc>
      </w:tr>
      <w:tr w14:paraId="7C717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DC091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ZH13040620046</w:t>
            </w:r>
          </w:p>
        </w:tc>
        <w:tc>
          <w:tcPr>
            <w:tcW w:w="567" w:type="dxa"/>
            <w:vMerge w:val="restart"/>
            <w:noWrap w:val="0"/>
            <w:vAlign w:val="center"/>
          </w:tcPr>
          <w:p w14:paraId="66BDC5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3920712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临水镇、新坡镇</w:t>
            </w:r>
          </w:p>
        </w:tc>
        <w:tc>
          <w:tcPr>
            <w:tcW w:w="757" w:type="dxa"/>
            <w:vMerge w:val="restart"/>
            <w:noWrap w:val="0"/>
            <w:vAlign w:val="center"/>
          </w:tcPr>
          <w:p w14:paraId="63585BD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7F53AEF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w:t>
            </w:r>
          </w:p>
        </w:tc>
        <w:tc>
          <w:tcPr>
            <w:tcW w:w="992" w:type="dxa"/>
            <w:noWrap w:val="0"/>
            <w:vAlign w:val="center"/>
          </w:tcPr>
          <w:p w14:paraId="482E2B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351193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1.新建涉水企业原则上均应建在工业园区内，推动现有工业企业入园。2.禁止建设生产和使用高VOCs含量的溶剂型涂料、油墨、胶粘剂等项目。3.项目建设应考虑对周边敏感区的环境影响。</w:t>
            </w:r>
          </w:p>
        </w:tc>
      </w:tr>
      <w:tr w14:paraId="266E3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91C447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305F5E8">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460D265">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2A8DD0FE">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585E8A6E">
            <w:pPr>
              <w:widowControl/>
              <w:spacing w:line="0" w:lineRule="atLeast"/>
              <w:jc w:val="center"/>
              <w:rPr>
                <w:rFonts w:ascii="仿宋" w:hAnsi="仿宋" w:eastAsia="仿宋" w:cs="仿宋"/>
                <w:bCs/>
                <w:spacing w:val="-10"/>
                <w:kern w:val="0"/>
                <w:sz w:val="24"/>
              </w:rPr>
            </w:pPr>
          </w:p>
        </w:tc>
        <w:tc>
          <w:tcPr>
            <w:tcW w:w="992" w:type="dxa"/>
            <w:noWrap w:val="0"/>
            <w:vAlign w:val="center"/>
          </w:tcPr>
          <w:p w14:paraId="7D506E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538C5FA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加快完善区域污水管网建设，提高污水收集率，严禁生活污水不经处理直接外排。2.现有及新（改、扩）建向环境水体直接排放污水的排污单位满足《子牙河流域水污染物排放标准》（DB13/2796-2018)相应排放限值要求。</w:t>
            </w:r>
          </w:p>
        </w:tc>
      </w:tr>
      <w:tr w14:paraId="7C1C1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2616BF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88AE4A2">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2B28CF6">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497DA975">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22F41CB">
            <w:pPr>
              <w:widowControl/>
              <w:spacing w:line="0" w:lineRule="atLeast"/>
              <w:jc w:val="center"/>
              <w:rPr>
                <w:rFonts w:ascii="仿宋" w:hAnsi="仿宋" w:eastAsia="仿宋" w:cs="仿宋"/>
                <w:bCs/>
                <w:spacing w:val="-10"/>
                <w:kern w:val="0"/>
                <w:sz w:val="24"/>
              </w:rPr>
            </w:pPr>
          </w:p>
        </w:tc>
        <w:tc>
          <w:tcPr>
            <w:tcW w:w="992" w:type="dxa"/>
            <w:noWrap w:val="0"/>
            <w:vAlign w:val="center"/>
          </w:tcPr>
          <w:p w14:paraId="7BEDEE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A68823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确定地下水污染来源和路径，进行污染风险评估，确定修复目标和风险管控目标。</w:t>
            </w:r>
          </w:p>
        </w:tc>
      </w:tr>
      <w:tr w14:paraId="4066F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24EAF2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9AE5FC7">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3583598">
            <w:pPr>
              <w:widowControl/>
              <w:spacing w:line="0" w:lineRule="atLeast"/>
              <w:jc w:val="center"/>
              <w:rPr>
                <w:rFonts w:ascii="仿宋" w:hAnsi="仿宋" w:eastAsia="仿宋" w:cs="仿宋"/>
                <w:bCs/>
                <w:spacing w:val="-10"/>
                <w:kern w:val="0"/>
                <w:sz w:val="24"/>
              </w:rPr>
            </w:pPr>
          </w:p>
        </w:tc>
        <w:tc>
          <w:tcPr>
            <w:tcW w:w="757" w:type="dxa"/>
            <w:vMerge w:val="continue"/>
            <w:noWrap w:val="0"/>
            <w:vAlign w:val="center"/>
          </w:tcPr>
          <w:p w14:paraId="0A688A2D">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D0BDC59">
            <w:pPr>
              <w:widowControl/>
              <w:spacing w:line="0" w:lineRule="atLeast"/>
              <w:jc w:val="center"/>
              <w:rPr>
                <w:rFonts w:ascii="仿宋" w:hAnsi="仿宋" w:eastAsia="仿宋" w:cs="仿宋"/>
                <w:bCs/>
                <w:spacing w:val="-10"/>
                <w:kern w:val="0"/>
                <w:sz w:val="24"/>
              </w:rPr>
            </w:pPr>
          </w:p>
        </w:tc>
        <w:tc>
          <w:tcPr>
            <w:tcW w:w="992" w:type="dxa"/>
            <w:noWrap w:val="0"/>
            <w:vAlign w:val="center"/>
          </w:tcPr>
          <w:p w14:paraId="2A7C28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31E7A0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56A19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13" w:hRule="atLeast"/>
          <w:jc w:val="center"/>
        </w:trPr>
        <w:tc>
          <w:tcPr>
            <w:tcW w:w="595" w:type="dxa"/>
            <w:vMerge w:val="restart"/>
            <w:noWrap w:val="0"/>
            <w:vAlign w:val="center"/>
          </w:tcPr>
          <w:p w14:paraId="30E6E6E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ZH13040620047</w:t>
            </w:r>
          </w:p>
        </w:tc>
        <w:tc>
          <w:tcPr>
            <w:tcW w:w="567" w:type="dxa"/>
            <w:vMerge w:val="restart"/>
            <w:noWrap w:val="0"/>
            <w:vAlign w:val="center"/>
          </w:tcPr>
          <w:p w14:paraId="6F8CF0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24F6CA2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大社镇、大峪镇、峰峰镇、滏阳东路街道、和村镇、界城镇、临水镇、彭城镇、西固义乡、新坡镇、义井镇</w:t>
            </w:r>
          </w:p>
        </w:tc>
        <w:tc>
          <w:tcPr>
            <w:tcW w:w="757" w:type="dxa"/>
            <w:vMerge w:val="restart"/>
            <w:noWrap w:val="0"/>
            <w:vAlign w:val="center"/>
          </w:tcPr>
          <w:p w14:paraId="4C3B0B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052" w:type="dxa"/>
            <w:vMerge w:val="restart"/>
            <w:noWrap w:val="0"/>
            <w:vAlign w:val="center"/>
          </w:tcPr>
          <w:p w14:paraId="3CE8530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w:t>
            </w:r>
          </w:p>
        </w:tc>
        <w:tc>
          <w:tcPr>
            <w:tcW w:w="992" w:type="dxa"/>
            <w:noWrap w:val="0"/>
            <w:vAlign w:val="center"/>
          </w:tcPr>
          <w:p w14:paraId="16D8D7C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6CA32C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新建涉水企业原则上均应建在工业园区内，推动现有工业企业入园。2.禁止新上100万平方米/年(不含)以下的建筑陶瓷砖、20万件/年(不含)以下卫生陶瓷生产线；禁止新上建筑卫生陶瓷(不包括建筑琉璃制品)土窑、倒焰窑、多孔窑、煤烧明焰隧道窑、隔焰隧道窑、匣钵装卫生陶瓷隧道窑、建筑陶瓷砖成型用的摩擦压砖机等设施。3.洗煤厂应设原煤储存设施。在人口集中的城镇附近的选煤厂、储配煤场，应采用封闭方式储存原煤。4.按照国家《绿色矿山建设规范》要求，推动露天矿山绿色标准化建设。5.项目建设应考虑对周边敏感区的环境影响。</w:t>
            </w:r>
          </w:p>
        </w:tc>
      </w:tr>
      <w:tr w14:paraId="0D6D5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9DE5B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3D0A7C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CF05DF4">
            <w:pPr>
              <w:widowControl/>
              <w:spacing w:line="0" w:lineRule="atLeast"/>
              <w:rPr>
                <w:rFonts w:ascii="仿宋" w:hAnsi="仿宋" w:eastAsia="仿宋" w:cs="仿宋"/>
                <w:bCs/>
                <w:spacing w:val="-10"/>
                <w:kern w:val="0"/>
                <w:sz w:val="24"/>
              </w:rPr>
            </w:pPr>
          </w:p>
        </w:tc>
        <w:tc>
          <w:tcPr>
            <w:tcW w:w="757" w:type="dxa"/>
            <w:vMerge w:val="continue"/>
            <w:noWrap w:val="0"/>
            <w:vAlign w:val="center"/>
          </w:tcPr>
          <w:p w14:paraId="47A88D2D">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6727F29A">
            <w:pPr>
              <w:widowControl/>
              <w:spacing w:line="0" w:lineRule="atLeast"/>
              <w:jc w:val="center"/>
              <w:rPr>
                <w:rFonts w:ascii="仿宋" w:hAnsi="仿宋" w:eastAsia="仿宋" w:cs="仿宋"/>
                <w:bCs/>
                <w:spacing w:val="-10"/>
                <w:kern w:val="0"/>
                <w:sz w:val="24"/>
              </w:rPr>
            </w:pPr>
          </w:p>
        </w:tc>
        <w:tc>
          <w:tcPr>
            <w:tcW w:w="992" w:type="dxa"/>
            <w:noWrap w:val="0"/>
            <w:vAlign w:val="center"/>
          </w:tcPr>
          <w:p w14:paraId="2037F4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7EF67EC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陶瓷行业要严格按照行业超低排放标准要求，在确保安全生产的条件下，进一步提高治污设施稳定运行性和污染物去除效率，稳定达标排放，实现超低排放新常态。2.开展日用陶瓷、陈设艺术瓷、特种陶瓷企业脱硝深度治理改造。3.工业炉窑污染物排放满足《工业炉窑大气污染物排放标准》(DB13/1640-20</w:t>
            </w:r>
            <w:r>
              <w:rPr>
                <w:rFonts w:hint="eastAsia" w:ascii="仿宋" w:hAnsi="仿宋" w:eastAsia="仿宋" w:cs="仿宋"/>
                <w:spacing w:val="-10"/>
                <w:sz w:val="24"/>
              </w:rPr>
              <w:t>/</w:t>
            </w:r>
            <w:r>
              <w:rPr>
                <w:rFonts w:hint="eastAsia" w:ascii="仿宋" w:hAnsi="仿宋" w:eastAsia="仿宋" w:cs="仿宋"/>
                <w:bCs/>
                <w:spacing w:val="-10"/>
                <w:kern w:val="0"/>
                <w:sz w:val="24"/>
              </w:rPr>
              <w:t>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 及“退后十”方案中邯郸限值要求。4.洗煤厂污染物排放满足《煤炭工业污染物排放标准》(GB20426-2006)中相应排放限值要求。5.对涉粉状物料十大行业按照“退后十”方案中相应要求管理。6.加快完善区域污水管网建设，提高污水收集率，严禁生活污水不经处理直接外排。7.现有及新（改、扩）建向环境水体直接排放污水的排污单位满足《子牙河流域水污染物排放标准》（DB13/2796-2018)相应排放限值要求。</w:t>
            </w:r>
          </w:p>
        </w:tc>
      </w:tr>
      <w:tr w14:paraId="38B68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65CFA7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48FACCE">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EEB6D24">
            <w:pPr>
              <w:widowControl/>
              <w:spacing w:line="0" w:lineRule="atLeast"/>
              <w:rPr>
                <w:rFonts w:ascii="仿宋" w:hAnsi="仿宋" w:eastAsia="仿宋" w:cs="仿宋"/>
                <w:bCs/>
                <w:spacing w:val="-10"/>
                <w:kern w:val="0"/>
                <w:sz w:val="24"/>
              </w:rPr>
            </w:pPr>
          </w:p>
        </w:tc>
        <w:tc>
          <w:tcPr>
            <w:tcW w:w="757" w:type="dxa"/>
            <w:vMerge w:val="continue"/>
            <w:noWrap w:val="0"/>
            <w:vAlign w:val="center"/>
          </w:tcPr>
          <w:p w14:paraId="555A81C5">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60E533B1">
            <w:pPr>
              <w:widowControl/>
              <w:spacing w:line="0" w:lineRule="atLeast"/>
              <w:jc w:val="center"/>
              <w:rPr>
                <w:rFonts w:ascii="仿宋" w:hAnsi="仿宋" w:eastAsia="仿宋" w:cs="仿宋"/>
                <w:bCs/>
                <w:spacing w:val="-10"/>
                <w:kern w:val="0"/>
                <w:sz w:val="24"/>
              </w:rPr>
            </w:pPr>
          </w:p>
        </w:tc>
        <w:tc>
          <w:tcPr>
            <w:tcW w:w="992" w:type="dxa"/>
            <w:noWrap w:val="0"/>
            <w:vAlign w:val="center"/>
          </w:tcPr>
          <w:p w14:paraId="4233DB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9C362D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1.确定地下水污染来源和路径，进行污染风险评估，确定修复目标和风险管控目标。2.</w:t>
            </w:r>
            <w:r>
              <w:rPr>
                <w:rFonts w:hint="eastAsia" w:ascii="仿宋" w:hAnsi="仿宋" w:eastAsia="仿宋" w:cs="仿宋"/>
                <w:bCs/>
                <w:spacing w:val="-10"/>
                <w:kern w:val="0"/>
                <w:sz w:val="24"/>
              </w:rPr>
              <w:t>尾矿、矸石、废石等矿业固体废物贮存设施停止使用后，矿山企业应当按照国家有关环境保护规定进行封场，防止造成环境污染和生态破坏。</w:t>
            </w:r>
          </w:p>
        </w:tc>
      </w:tr>
      <w:tr w14:paraId="3C774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34D82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B90F31">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790CF89">
            <w:pPr>
              <w:widowControl/>
              <w:spacing w:line="0" w:lineRule="atLeast"/>
              <w:rPr>
                <w:rFonts w:ascii="仿宋" w:hAnsi="仿宋" w:eastAsia="仿宋" w:cs="仿宋"/>
                <w:bCs/>
                <w:spacing w:val="-10"/>
                <w:kern w:val="0"/>
                <w:sz w:val="24"/>
              </w:rPr>
            </w:pPr>
          </w:p>
        </w:tc>
        <w:tc>
          <w:tcPr>
            <w:tcW w:w="757" w:type="dxa"/>
            <w:vMerge w:val="continue"/>
            <w:noWrap w:val="0"/>
            <w:vAlign w:val="center"/>
          </w:tcPr>
          <w:p w14:paraId="1B8E87A9">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308CEE1B">
            <w:pPr>
              <w:widowControl/>
              <w:spacing w:line="0" w:lineRule="atLeast"/>
              <w:jc w:val="center"/>
              <w:rPr>
                <w:rFonts w:ascii="仿宋" w:hAnsi="仿宋" w:eastAsia="仿宋" w:cs="仿宋"/>
                <w:bCs/>
                <w:spacing w:val="-10"/>
                <w:kern w:val="0"/>
                <w:sz w:val="24"/>
              </w:rPr>
            </w:pPr>
          </w:p>
        </w:tc>
        <w:tc>
          <w:tcPr>
            <w:tcW w:w="992" w:type="dxa"/>
            <w:noWrap w:val="0"/>
            <w:vAlign w:val="center"/>
          </w:tcPr>
          <w:p w14:paraId="671089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EBE237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spacing w:val="-10"/>
                <w:sz w:val="24"/>
              </w:rPr>
              <w:t>1.卫生陶瓷单位产品综合能耗≤410千克标准煤/吨。2.洗煤厂必须实现洗水闭路循环。</w:t>
            </w:r>
          </w:p>
        </w:tc>
      </w:tr>
      <w:tr w14:paraId="51DD0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D047C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ZH13040630048</w:t>
            </w:r>
          </w:p>
        </w:tc>
        <w:tc>
          <w:tcPr>
            <w:tcW w:w="567" w:type="dxa"/>
            <w:vMerge w:val="restart"/>
            <w:noWrap w:val="0"/>
            <w:vAlign w:val="center"/>
          </w:tcPr>
          <w:p w14:paraId="1B8490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峰峰矿区</w:t>
            </w:r>
          </w:p>
        </w:tc>
        <w:tc>
          <w:tcPr>
            <w:tcW w:w="885" w:type="dxa"/>
            <w:vMerge w:val="restart"/>
            <w:noWrap w:val="0"/>
            <w:vAlign w:val="center"/>
          </w:tcPr>
          <w:p w14:paraId="5D1E2A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大社镇、峰峰镇、新坡镇、西固义乡</w:t>
            </w:r>
          </w:p>
        </w:tc>
        <w:tc>
          <w:tcPr>
            <w:tcW w:w="757" w:type="dxa"/>
            <w:vMerge w:val="restart"/>
            <w:noWrap w:val="0"/>
            <w:vAlign w:val="center"/>
          </w:tcPr>
          <w:p w14:paraId="141D81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1052" w:type="dxa"/>
            <w:vMerge w:val="restart"/>
            <w:noWrap w:val="0"/>
            <w:vAlign w:val="center"/>
          </w:tcPr>
          <w:p w14:paraId="663B767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992" w:type="dxa"/>
            <w:noWrap w:val="0"/>
            <w:vAlign w:val="center"/>
          </w:tcPr>
          <w:p w14:paraId="67C73B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17EAA28">
            <w:pPr>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洗煤厂应设原煤储存设施。在人口集中的城镇附近的选煤厂、储配煤场，应采用封闭方式储存原煤。</w:t>
            </w:r>
          </w:p>
        </w:tc>
      </w:tr>
      <w:tr w14:paraId="5F973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08876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326AE6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965FCF6">
            <w:pPr>
              <w:widowControl/>
              <w:spacing w:line="0" w:lineRule="atLeast"/>
              <w:rPr>
                <w:rFonts w:ascii="仿宋" w:hAnsi="仿宋" w:eastAsia="仿宋" w:cs="仿宋"/>
                <w:bCs/>
                <w:spacing w:val="-10"/>
                <w:kern w:val="0"/>
                <w:sz w:val="24"/>
              </w:rPr>
            </w:pPr>
          </w:p>
        </w:tc>
        <w:tc>
          <w:tcPr>
            <w:tcW w:w="757" w:type="dxa"/>
            <w:vMerge w:val="continue"/>
            <w:noWrap w:val="0"/>
            <w:vAlign w:val="center"/>
          </w:tcPr>
          <w:p w14:paraId="34739EF7">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46D346B7">
            <w:pPr>
              <w:widowControl/>
              <w:spacing w:line="0" w:lineRule="atLeast"/>
              <w:jc w:val="center"/>
              <w:rPr>
                <w:rFonts w:ascii="仿宋" w:hAnsi="仿宋" w:eastAsia="仿宋" w:cs="仿宋"/>
                <w:bCs/>
                <w:spacing w:val="-10"/>
                <w:kern w:val="0"/>
                <w:sz w:val="24"/>
              </w:rPr>
            </w:pPr>
          </w:p>
        </w:tc>
        <w:tc>
          <w:tcPr>
            <w:tcW w:w="992" w:type="dxa"/>
            <w:noWrap w:val="0"/>
            <w:vAlign w:val="center"/>
          </w:tcPr>
          <w:p w14:paraId="2CE7F9E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5D3B209">
            <w:pPr>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洗煤厂污染物排放满足《煤炭工业污染物排放标准》(GB20426-2006)中相应排放限值要求。</w:t>
            </w:r>
          </w:p>
        </w:tc>
      </w:tr>
      <w:tr w14:paraId="73CDB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58ED3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51E877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5794333">
            <w:pPr>
              <w:widowControl/>
              <w:spacing w:line="0" w:lineRule="atLeast"/>
              <w:rPr>
                <w:rFonts w:ascii="仿宋" w:hAnsi="仿宋" w:eastAsia="仿宋" w:cs="仿宋"/>
                <w:bCs/>
                <w:spacing w:val="-10"/>
                <w:kern w:val="0"/>
                <w:sz w:val="24"/>
              </w:rPr>
            </w:pPr>
          </w:p>
        </w:tc>
        <w:tc>
          <w:tcPr>
            <w:tcW w:w="757" w:type="dxa"/>
            <w:vMerge w:val="continue"/>
            <w:noWrap w:val="0"/>
            <w:vAlign w:val="center"/>
          </w:tcPr>
          <w:p w14:paraId="0EF38BE2">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2AD1CD32">
            <w:pPr>
              <w:widowControl/>
              <w:spacing w:line="0" w:lineRule="atLeast"/>
              <w:jc w:val="center"/>
              <w:rPr>
                <w:rFonts w:ascii="仿宋" w:hAnsi="仿宋" w:eastAsia="仿宋" w:cs="仿宋"/>
                <w:bCs/>
                <w:spacing w:val="-10"/>
                <w:kern w:val="0"/>
                <w:sz w:val="24"/>
              </w:rPr>
            </w:pPr>
          </w:p>
        </w:tc>
        <w:tc>
          <w:tcPr>
            <w:tcW w:w="992" w:type="dxa"/>
            <w:noWrap w:val="0"/>
            <w:vAlign w:val="center"/>
          </w:tcPr>
          <w:p w14:paraId="29CBA1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EC29263">
            <w:pPr>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w:t>
            </w:r>
          </w:p>
        </w:tc>
      </w:tr>
      <w:tr w14:paraId="430CF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973BAA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FA5C7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FB12338">
            <w:pPr>
              <w:widowControl/>
              <w:spacing w:line="0" w:lineRule="atLeast"/>
              <w:rPr>
                <w:rFonts w:ascii="仿宋" w:hAnsi="仿宋" w:eastAsia="仿宋" w:cs="仿宋"/>
                <w:bCs/>
                <w:spacing w:val="-10"/>
                <w:kern w:val="0"/>
                <w:sz w:val="24"/>
              </w:rPr>
            </w:pPr>
          </w:p>
        </w:tc>
        <w:tc>
          <w:tcPr>
            <w:tcW w:w="757" w:type="dxa"/>
            <w:vMerge w:val="continue"/>
            <w:noWrap w:val="0"/>
            <w:vAlign w:val="center"/>
          </w:tcPr>
          <w:p w14:paraId="5E58FB7A">
            <w:pPr>
              <w:widowControl/>
              <w:spacing w:line="0" w:lineRule="atLeast"/>
              <w:jc w:val="center"/>
              <w:rPr>
                <w:rFonts w:ascii="仿宋" w:hAnsi="仿宋" w:eastAsia="仿宋" w:cs="仿宋"/>
                <w:bCs/>
                <w:spacing w:val="-10"/>
                <w:kern w:val="0"/>
                <w:sz w:val="24"/>
              </w:rPr>
            </w:pPr>
          </w:p>
        </w:tc>
        <w:tc>
          <w:tcPr>
            <w:tcW w:w="1052" w:type="dxa"/>
            <w:vMerge w:val="continue"/>
            <w:noWrap w:val="0"/>
            <w:vAlign w:val="center"/>
          </w:tcPr>
          <w:p w14:paraId="00539B4F">
            <w:pPr>
              <w:widowControl/>
              <w:spacing w:line="0" w:lineRule="atLeast"/>
              <w:jc w:val="center"/>
              <w:rPr>
                <w:rFonts w:ascii="仿宋" w:hAnsi="仿宋" w:eastAsia="仿宋" w:cs="仿宋"/>
                <w:bCs/>
                <w:spacing w:val="-10"/>
                <w:kern w:val="0"/>
                <w:sz w:val="24"/>
              </w:rPr>
            </w:pPr>
          </w:p>
        </w:tc>
        <w:tc>
          <w:tcPr>
            <w:tcW w:w="992" w:type="dxa"/>
            <w:noWrap w:val="0"/>
            <w:vAlign w:val="center"/>
          </w:tcPr>
          <w:p w14:paraId="3025AAD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C967B6B">
            <w:pPr>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洗煤厂必须实现洗水闭路循环。</w:t>
            </w:r>
          </w:p>
        </w:tc>
      </w:tr>
    </w:tbl>
    <w:p w14:paraId="6831CA2E">
      <w:pPr>
        <w:pStyle w:val="10"/>
        <w:numPr>
          <w:ilvl w:val="1"/>
          <w:numId w:val="0"/>
        </w:numPr>
        <w:spacing w:beforeLines="50"/>
        <w:rPr>
          <w:rFonts w:ascii="仿宋" w:hAnsi="仿宋" w:eastAsia="仿宋" w:cs="仿宋"/>
        </w:rPr>
      </w:pPr>
    </w:p>
    <w:p w14:paraId="4827D630">
      <w:pPr>
        <w:pStyle w:val="10"/>
        <w:numPr>
          <w:ilvl w:val="1"/>
          <w:numId w:val="0"/>
        </w:numPr>
        <w:spacing w:beforeLines="50"/>
        <w:ind w:firstLine="420" w:firstLineChars="200"/>
        <w:outlineLvl w:val="1"/>
        <w:rPr>
          <w:rFonts w:ascii="仿宋" w:hAnsi="仿宋" w:eastAsia="仿宋" w:cs="仿宋"/>
          <w:b/>
          <w:sz w:val="28"/>
          <w:szCs w:val="18"/>
        </w:rPr>
      </w:pPr>
      <w:r>
        <w:rPr>
          <w:rFonts w:hint="eastAsia" w:ascii="仿宋" w:hAnsi="仿宋" w:eastAsia="仿宋" w:cs="仿宋"/>
        </w:rPr>
        <w:br w:type="page"/>
      </w:r>
      <w:r>
        <w:rPr>
          <w:rFonts w:hint="eastAsia" w:ascii="仿宋" w:hAnsi="仿宋" w:eastAsia="仿宋" w:cs="仿宋"/>
          <w:bCs/>
          <w:sz w:val="32"/>
          <w:szCs w:val="32"/>
        </w:rPr>
        <w:t>（五）肥乡区生态环境准入清单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851"/>
        <w:gridCol w:w="732"/>
        <w:gridCol w:w="1111"/>
        <w:gridCol w:w="992"/>
        <w:gridCol w:w="4053"/>
      </w:tblGrid>
      <w:tr w14:paraId="35AE3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424CD4A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66ED726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851" w:type="dxa"/>
            <w:shd w:val="clear" w:color="auto" w:fill="D7D7D7"/>
            <w:noWrap w:val="0"/>
            <w:vAlign w:val="center"/>
          </w:tcPr>
          <w:p w14:paraId="69479E7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32" w:type="dxa"/>
            <w:shd w:val="clear" w:color="auto" w:fill="D7D7D7"/>
            <w:noWrap w:val="0"/>
            <w:vAlign w:val="center"/>
          </w:tcPr>
          <w:p w14:paraId="5DD4C03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1111" w:type="dxa"/>
            <w:shd w:val="clear" w:color="auto" w:fill="D7D7D7"/>
            <w:noWrap w:val="0"/>
            <w:vAlign w:val="center"/>
          </w:tcPr>
          <w:p w14:paraId="78C610B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992" w:type="dxa"/>
            <w:shd w:val="clear" w:color="auto" w:fill="D7D7D7"/>
            <w:noWrap w:val="0"/>
            <w:vAlign w:val="center"/>
          </w:tcPr>
          <w:p w14:paraId="5A6406C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7C802E0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32C6B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7D867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ZH13040710049</w:t>
            </w:r>
          </w:p>
        </w:tc>
        <w:tc>
          <w:tcPr>
            <w:tcW w:w="567" w:type="dxa"/>
            <w:vMerge w:val="restart"/>
            <w:noWrap w:val="0"/>
            <w:vAlign w:val="center"/>
          </w:tcPr>
          <w:p w14:paraId="4E5A3E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2AEA5E01">
            <w:pPr>
              <w:widowControl/>
              <w:spacing w:line="0" w:lineRule="atLeast"/>
              <w:jc w:val="center"/>
              <w:rPr>
                <w:rFonts w:hint="eastAsia" w:ascii="仿宋" w:hAnsi="仿宋" w:eastAsia="仿宋" w:cs="仿宋"/>
                <w:bCs/>
                <w:spacing w:val="-10"/>
                <w:kern w:val="0"/>
                <w:sz w:val="24"/>
                <w:lang w:eastAsia="zh-CN"/>
              </w:rPr>
            </w:pPr>
            <w:r>
              <w:rPr>
                <w:rFonts w:hint="eastAsia" w:ascii="仿宋" w:hAnsi="仿宋" w:eastAsia="仿宋" w:cs="仿宋"/>
                <w:bCs/>
                <w:spacing w:val="-10"/>
                <w:kern w:val="0"/>
                <w:sz w:val="24"/>
              </w:rPr>
              <w:t>东漳堡镇、</w:t>
            </w:r>
            <w:r>
              <w:rPr>
                <w:rFonts w:hint="eastAsia" w:ascii="仿宋" w:hAnsi="仿宋" w:eastAsia="仿宋" w:cs="仿宋"/>
                <w:bCs/>
                <w:spacing w:val="-10"/>
                <w:kern w:val="0"/>
                <w:sz w:val="24"/>
                <w:lang w:eastAsia="zh-CN"/>
              </w:rPr>
              <w:t>北高镇</w:t>
            </w:r>
            <w:r>
              <w:rPr>
                <w:rFonts w:hint="eastAsia" w:ascii="仿宋" w:hAnsi="仿宋" w:eastAsia="仿宋" w:cs="仿宋"/>
                <w:bCs/>
                <w:spacing w:val="-10"/>
                <w:kern w:val="0"/>
                <w:sz w:val="24"/>
              </w:rPr>
              <w:t>、西吕营镇、</w:t>
            </w:r>
            <w:r>
              <w:rPr>
                <w:rFonts w:hint="eastAsia" w:ascii="仿宋" w:hAnsi="仿宋" w:eastAsia="仿宋" w:cs="仿宋"/>
                <w:bCs/>
                <w:spacing w:val="-10"/>
                <w:kern w:val="0"/>
                <w:sz w:val="24"/>
                <w:lang w:eastAsia="zh-CN"/>
              </w:rPr>
              <w:t>元固镇</w:t>
            </w:r>
          </w:p>
        </w:tc>
        <w:tc>
          <w:tcPr>
            <w:tcW w:w="732" w:type="dxa"/>
            <w:vMerge w:val="restart"/>
            <w:noWrap w:val="0"/>
            <w:vAlign w:val="center"/>
          </w:tcPr>
          <w:p w14:paraId="20782E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1" w:type="dxa"/>
            <w:vMerge w:val="restart"/>
            <w:noWrap w:val="0"/>
            <w:vAlign w:val="center"/>
          </w:tcPr>
          <w:p w14:paraId="7D1CC2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992" w:type="dxa"/>
            <w:noWrap w:val="0"/>
            <w:vAlign w:val="center"/>
          </w:tcPr>
          <w:p w14:paraId="386949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B406A1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w:t>
            </w:r>
          </w:p>
        </w:tc>
      </w:tr>
      <w:tr w14:paraId="2A3E0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9A6E57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9D5789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EF4B3D0">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F1FBCD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1AE2DD0E">
            <w:pPr>
              <w:widowControl/>
              <w:spacing w:line="0" w:lineRule="atLeast"/>
              <w:jc w:val="center"/>
              <w:rPr>
                <w:rFonts w:ascii="仿宋" w:hAnsi="仿宋" w:eastAsia="仿宋" w:cs="仿宋"/>
                <w:bCs/>
                <w:spacing w:val="-10"/>
                <w:kern w:val="0"/>
                <w:sz w:val="24"/>
              </w:rPr>
            </w:pPr>
          </w:p>
        </w:tc>
        <w:tc>
          <w:tcPr>
            <w:tcW w:w="992" w:type="dxa"/>
            <w:noWrap w:val="0"/>
            <w:vAlign w:val="center"/>
          </w:tcPr>
          <w:p w14:paraId="760B797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6E7EC3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65043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F8D74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7FF289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2D9AAE9">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62D7603A">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0CCA28F">
            <w:pPr>
              <w:widowControl/>
              <w:spacing w:line="0" w:lineRule="atLeast"/>
              <w:jc w:val="center"/>
              <w:rPr>
                <w:rFonts w:ascii="仿宋" w:hAnsi="仿宋" w:eastAsia="仿宋" w:cs="仿宋"/>
                <w:bCs/>
                <w:spacing w:val="-10"/>
                <w:kern w:val="0"/>
                <w:sz w:val="24"/>
              </w:rPr>
            </w:pPr>
          </w:p>
        </w:tc>
        <w:tc>
          <w:tcPr>
            <w:tcW w:w="992" w:type="dxa"/>
            <w:noWrap w:val="0"/>
            <w:vAlign w:val="center"/>
          </w:tcPr>
          <w:p w14:paraId="0060E8E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52940C6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10B80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4D8E70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0608CA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A82D02B">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65ACFC2">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8EEF338">
            <w:pPr>
              <w:widowControl/>
              <w:spacing w:line="0" w:lineRule="atLeast"/>
              <w:jc w:val="center"/>
              <w:rPr>
                <w:rFonts w:ascii="仿宋" w:hAnsi="仿宋" w:eastAsia="仿宋" w:cs="仿宋"/>
                <w:bCs/>
                <w:spacing w:val="-10"/>
                <w:kern w:val="0"/>
                <w:sz w:val="24"/>
              </w:rPr>
            </w:pPr>
          </w:p>
        </w:tc>
        <w:tc>
          <w:tcPr>
            <w:tcW w:w="992" w:type="dxa"/>
            <w:noWrap w:val="0"/>
            <w:vAlign w:val="center"/>
          </w:tcPr>
          <w:p w14:paraId="7719C4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F078B78">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8FAF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3D740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ZH13040720050</w:t>
            </w:r>
          </w:p>
        </w:tc>
        <w:tc>
          <w:tcPr>
            <w:tcW w:w="567" w:type="dxa"/>
            <w:vMerge w:val="restart"/>
            <w:noWrap w:val="0"/>
            <w:vAlign w:val="center"/>
          </w:tcPr>
          <w:p w14:paraId="47B0E27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036A86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大寺上镇、天台山镇、辛安镇镇</w:t>
            </w:r>
          </w:p>
        </w:tc>
        <w:tc>
          <w:tcPr>
            <w:tcW w:w="732" w:type="dxa"/>
            <w:vMerge w:val="restart"/>
            <w:noWrap w:val="0"/>
            <w:vAlign w:val="center"/>
          </w:tcPr>
          <w:p w14:paraId="284AB9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7FBB4B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大气高排放重点管控区、水环境工业污染重点管控区、肥乡经济开发区西区、高污染燃料禁燃区、地下水开采重点管控区</w:t>
            </w:r>
          </w:p>
        </w:tc>
        <w:tc>
          <w:tcPr>
            <w:tcW w:w="992" w:type="dxa"/>
            <w:noWrap w:val="0"/>
            <w:vAlign w:val="center"/>
          </w:tcPr>
          <w:p w14:paraId="2B2E88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659DE5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地表水厂周围50m作为限建区，防止周围工业项目对地表水厂的污染影响。2.对不符合产业政策的要求的企业禁止入园；不符合园区准入条件的禁止入园；其他国家和地方产业政策中禁止的类别和存在严重污染且不能达标排放的企业禁止入园；不符合行业清洁生产标准中国家先进水平的企业禁止入园。3.基础零部件制造禁止铅酸电池生产进入；金属制品制造行业禁止有电镀工艺的入驻；纺织加工禁止印染行业入驻；仓储项目禁止含剧毒、持久性污染等产品进入。4.严格地下水管理，地下水禁采区和地下水限采区内按照《河北省人民政府关于公布地下水超采区和禁止开采区、限制开采区范围的通知》（冀政字〔2022〕59号）要求执行。</w:t>
            </w:r>
          </w:p>
        </w:tc>
      </w:tr>
      <w:tr w14:paraId="5D60D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11" w:hRule="atLeast"/>
          <w:jc w:val="center"/>
        </w:trPr>
        <w:tc>
          <w:tcPr>
            <w:tcW w:w="595" w:type="dxa"/>
            <w:vMerge w:val="continue"/>
            <w:noWrap w:val="0"/>
            <w:vAlign w:val="center"/>
          </w:tcPr>
          <w:p w14:paraId="40CECB0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F1D459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FC6E77B">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2241CB1F">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D39AE83">
            <w:pPr>
              <w:widowControl/>
              <w:spacing w:line="0" w:lineRule="atLeast"/>
              <w:jc w:val="center"/>
              <w:rPr>
                <w:rFonts w:ascii="仿宋" w:hAnsi="仿宋" w:eastAsia="仿宋" w:cs="仿宋"/>
                <w:bCs/>
                <w:spacing w:val="-10"/>
                <w:kern w:val="0"/>
                <w:sz w:val="24"/>
              </w:rPr>
            </w:pPr>
          </w:p>
        </w:tc>
        <w:tc>
          <w:tcPr>
            <w:tcW w:w="992" w:type="dxa"/>
            <w:noWrap w:val="0"/>
            <w:vAlign w:val="center"/>
          </w:tcPr>
          <w:p w14:paraId="6F7B23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9AAB56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工业企业污染物排放满足《工业企业挥发性有机物排放控制标准》（DB13/2322-2016）、《挥发性有机物无组织排放控制标准》（GB37822-2019）、《锅炉大气污染物排放标准》（DB13/5161-2020）、《工业炉窑大气污染物排放标准》（DB13/1640-2012）相应排放限值要求，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的通知》(冀环大气〔2019〕607号)及“退后十”方案中邯郸限值要求。2.现有及新（改、扩）建向环境水体直接排放污水的排污单位满足《子牙河流域水污染物排放标准》（DB13/2796-2018)相应排放限值要求。</w:t>
            </w:r>
          </w:p>
        </w:tc>
      </w:tr>
      <w:tr w14:paraId="50FF7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68" w:hRule="atLeast"/>
          <w:jc w:val="center"/>
        </w:trPr>
        <w:tc>
          <w:tcPr>
            <w:tcW w:w="595" w:type="dxa"/>
            <w:vMerge w:val="continue"/>
            <w:noWrap w:val="0"/>
            <w:vAlign w:val="center"/>
          </w:tcPr>
          <w:p w14:paraId="48652E5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DDEE86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EF1F373">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F0DF831">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A087BD7">
            <w:pPr>
              <w:widowControl/>
              <w:spacing w:line="0" w:lineRule="atLeast"/>
              <w:jc w:val="center"/>
              <w:rPr>
                <w:rFonts w:ascii="仿宋" w:hAnsi="仿宋" w:eastAsia="仿宋" w:cs="仿宋"/>
                <w:bCs/>
                <w:spacing w:val="-10"/>
                <w:kern w:val="0"/>
                <w:sz w:val="24"/>
              </w:rPr>
            </w:pPr>
          </w:p>
        </w:tc>
        <w:tc>
          <w:tcPr>
            <w:tcW w:w="992" w:type="dxa"/>
            <w:noWrap w:val="0"/>
            <w:vAlign w:val="center"/>
          </w:tcPr>
          <w:p w14:paraId="275A0BB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524075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3575F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52" w:hRule="atLeast"/>
          <w:jc w:val="center"/>
        </w:trPr>
        <w:tc>
          <w:tcPr>
            <w:tcW w:w="595" w:type="dxa"/>
            <w:vMerge w:val="continue"/>
            <w:noWrap w:val="0"/>
            <w:vAlign w:val="center"/>
          </w:tcPr>
          <w:p w14:paraId="184F2B3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54FCCA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19702DF">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833E565">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CDFB38D">
            <w:pPr>
              <w:widowControl/>
              <w:spacing w:line="0" w:lineRule="atLeast"/>
              <w:jc w:val="center"/>
              <w:rPr>
                <w:rFonts w:ascii="仿宋" w:hAnsi="仿宋" w:eastAsia="仿宋" w:cs="仿宋"/>
                <w:bCs/>
                <w:spacing w:val="-10"/>
                <w:kern w:val="0"/>
                <w:sz w:val="24"/>
              </w:rPr>
            </w:pPr>
          </w:p>
        </w:tc>
        <w:tc>
          <w:tcPr>
            <w:tcW w:w="992" w:type="dxa"/>
            <w:noWrap w:val="0"/>
            <w:vAlign w:val="center"/>
          </w:tcPr>
          <w:p w14:paraId="548CC2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9EC39B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单位工业增加值综合能耗≤0.5吨标准煤/万元；开发区建设不能新增地下水取水量；严格控制土地开发利用规模，不得突破开发区用地边界及规划的各类用地规模。2.禁燃区内严格按照相应的高污染燃料禁燃区的通告要求执行。</w:t>
            </w:r>
            <w:r>
              <w:rPr>
                <w:rFonts w:hint="eastAsia" w:ascii="仿宋" w:hAnsi="仿宋" w:eastAsia="仿宋" w:cs="仿宋"/>
                <w:bCs/>
                <w:spacing w:val="-10"/>
                <w:kern w:val="0"/>
                <w:sz w:val="24"/>
                <w:lang w:val="en-US" w:eastAsia="zh-CN"/>
              </w:rPr>
              <w:t>3</w:t>
            </w: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4F5F1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C823A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ZH13040720051</w:t>
            </w:r>
          </w:p>
        </w:tc>
        <w:tc>
          <w:tcPr>
            <w:tcW w:w="567" w:type="dxa"/>
            <w:vMerge w:val="restart"/>
            <w:noWrap w:val="0"/>
            <w:vAlign w:val="center"/>
          </w:tcPr>
          <w:p w14:paraId="73939C8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2D96BB1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肥乡镇、天台山镇、辛安镇镇</w:t>
            </w:r>
          </w:p>
        </w:tc>
        <w:tc>
          <w:tcPr>
            <w:tcW w:w="732" w:type="dxa"/>
            <w:vMerge w:val="restart"/>
            <w:noWrap w:val="0"/>
            <w:vAlign w:val="center"/>
          </w:tcPr>
          <w:p w14:paraId="218E5A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298DF4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大气环境高排放重点管控区、水环境工业污染重点管控区、肥乡经济开发区东区、地下水开采重点管控区</w:t>
            </w:r>
          </w:p>
        </w:tc>
        <w:tc>
          <w:tcPr>
            <w:tcW w:w="992" w:type="dxa"/>
            <w:noWrap w:val="0"/>
            <w:vAlign w:val="center"/>
          </w:tcPr>
          <w:p w14:paraId="2687EB5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4014D0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地表水厂周围50m作为限建区，防止周围工业项目对地表水厂的污染影响。2.对不符合产业政策的要求的企业禁止入园；不符合园区准入条件的禁止入园；其他国家和地方产业政策中禁止的类别和存在严重污染且不能达标排放的企业禁止入园；不符合行业清洁生产标准中国家先进水平的企业禁止入园。3.基础零部件制造禁止铅酸电池生产进入；金属制品制造行业禁止有电镀工艺的入驻；纺织加工禁止印染行业入驻；仓储项目禁止含剧毒、持久性污染等产品进入。4.严格地下水管理，地下水禁采区和地下水限采区内按照《河北省人民政府关于公布地下水超采区和禁止开采区、限制开采区范围的通知》（冀政字〔2022〕59号）要求执行。</w:t>
            </w:r>
          </w:p>
        </w:tc>
      </w:tr>
      <w:tr w14:paraId="624D2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69D1A2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D3BB94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B3100C8">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835EBD0">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EFC8460">
            <w:pPr>
              <w:widowControl/>
              <w:spacing w:line="0" w:lineRule="atLeast"/>
              <w:jc w:val="center"/>
              <w:rPr>
                <w:rFonts w:ascii="仿宋" w:hAnsi="仿宋" w:eastAsia="仿宋" w:cs="仿宋"/>
                <w:bCs/>
                <w:spacing w:val="-10"/>
                <w:kern w:val="0"/>
                <w:sz w:val="24"/>
              </w:rPr>
            </w:pPr>
          </w:p>
        </w:tc>
        <w:tc>
          <w:tcPr>
            <w:tcW w:w="992" w:type="dxa"/>
            <w:noWrap w:val="0"/>
            <w:vAlign w:val="center"/>
          </w:tcPr>
          <w:p w14:paraId="6B57D00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591F114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工业企业污染物排放满足《工业企业挥发性有机物排放控制标准》（DB13/2322-2016）、《挥发性有机物无组织排放控制标准》（GB37822-2019）、《锅炉大气污染物排放标准》（DB13/5161-2020）、《工业炉窑大气污染物排放标准》（DB13/1640-2012）相应排放限值要求，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的通知》(冀环大气〔2019〕607号)及“退后十”方案中邯郸限值要求。2.现有及新（改、扩）建向环境水体直接排放污水的排污单位满足《子牙河流域水污染物排放标准》（DB13/2796-2018)相应排放限值要求。</w:t>
            </w:r>
          </w:p>
        </w:tc>
      </w:tr>
      <w:tr w14:paraId="426D0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ECD314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BAA9D6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B8E9A24">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39B495A6">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47ED0FE">
            <w:pPr>
              <w:widowControl/>
              <w:spacing w:line="0" w:lineRule="atLeast"/>
              <w:jc w:val="center"/>
              <w:rPr>
                <w:rFonts w:ascii="仿宋" w:hAnsi="仿宋" w:eastAsia="仿宋" w:cs="仿宋"/>
                <w:bCs/>
                <w:spacing w:val="-10"/>
                <w:kern w:val="0"/>
                <w:sz w:val="24"/>
              </w:rPr>
            </w:pPr>
          </w:p>
        </w:tc>
        <w:tc>
          <w:tcPr>
            <w:tcW w:w="992" w:type="dxa"/>
            <w:noWrap w:val="0"/>
            <w:vAlign w:val="center"/>
          </w:tcPr>
          <w:p w14:paraId="553F5A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C282BF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2CB36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5BC71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CCC946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076F670">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9CE91C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498F59B">
            <w:pPr>
              <w:widowControl/>
              <w:spacing w:line="0" w:lineRule="atLeast"/>
              <w:jc w:val="center"/>
              <w:rPr>
                <w:rFonts w:ascii="仿宋" w:hAnsi="仿宋" w:eastAsia="仿宋" w:cs="仿宋"/>
                <w:bCs/>
                <w:spacing w:val="-10"/>
                <w:kern w:val="0"/>
                <w:sz w:val="24"/>
              </w:rPr>
            </w:pPr>
          </w:p>
        </w:tc>
        <w:tc>
          <w:tcPr>
            <w:tcW w:w="992" w:type="dxa"/>
            <w:noWrap w:val="0"/>
            <w:vAlign w:val="center"/>
          </w:tcPr>
          <w:p w14:paraId="245F1D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7219BA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单位工业增加值综合能耗≤0.5吨标准煤/万元；开发区建设不能新增地下水取水量；严格控制土地开发利用规模，不得突破开发区用地边界及规划的各类用地规模。2.地下水开发利用应当以浅层地下水为主。深层地下水作为战略储备水源、应急供水水源、无替代水源地区的居民生活水源，应当严格限制开采。</w:t>
            </w:r>
          </w:p>
        </w:tc>
      </w:tr>
      <w:tr w14:paraId="298F7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DB196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ZH13040720052</w:t>
            </w:r>
          </w:p>
        </w:tc>
        <w:tc>
          <w:tcPr>
            <w:tcW w:w="567" w:type="dxa"/>
            <w:vMerge w:val="restart"/>
            <w:noWrap w:val="0"/>
            <w:vAlign w:val="center"/>
          </w:tcPr>
          <w:p w14:paraId="6563A2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783373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肥乡镇、毛演堡乡、天台山镇</w:t>
            </w:r>
          </w:p>
        </w:tc>
        <w:tc>
          <w:tcPr>
            <w:tcW w:w="732" w:type="dxa"/>
            <w:vMerge w:val="restart"/>
            <w:noWrap w:val="0"/>
            <w:vAlign w:val="center"/>
          </w:tcPr>
          <w:p w14:paraId="2D363F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2E2817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大气环境受体敏感重点管控区、水环境城镇生活污染重点管控区、地下水开采重点管控区</w:t>
            </w:r>
          </w:p>
        </w:tc>
        <w:tc>
          <w:tcPr>
            <w:tcW w:w="992" w:type="dxa"/>
            <w:noWrap w:val="0"/>
            <w:vAlign w:val="center"/>
          </w:tcPr>
          <w:p w14:paraId="739086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22F98B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禁止建设生产和使用高VOCs含量的溶剂型涂料、油墨、胶粘剂等项目。3.生活垃圾填埋场场址选择满足《生活垃圾卫生填埋处理技术规范》(GB50869-2013)中相关规定。4.严格地下水管理，地下水禁采区和地下水限采区内按照《河北省人民政府关于公布地下水超采区和禁止开采区、限制开采区范围的通知》（冀政字〔2022〕59号）要求执行。</w:t>
            </w:r>
          </w:p>
        </w:tc>
      </w:tr>
      <w:tr w14:paraId="1F58E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63" w:hRule="atLeast"/>
          <w:jc w:val="center"/>
        </w:trPr>
        <w:tc>
          <w:tcPr>
            <w:tcW w:w="595" w:type="dxa"/>
            <w:vMerge w:val="continue"/>
            <w:noWrap w:val="0"/>
            <w:vAlign w:val="center"/>
          </w:tcPr>
          <w:p w14:paraId="46A06A7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86B37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F16C09C">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8BEDA04">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0427AA0">
            <w:pPr>
              <w:widowControl/>
              <w:spacing w:line="0" w:lineRule="atLeast"/>
              <w:jc w:val="center"/>
              <w:rPr>
                <w:rFonts w:ascii="仿宋" w:hAnsi="仿宋" w:eastAsia="仿宋" w:cs="仿宋"/>
                <w:bCs/>
                <w:spacing w:val="-10"/>
                <w:kern w:val="0"/>
                <w:sz w:val="24"/>
              </w:rPr>
            </w:pPr>
          </w:p>
        </w:tc>
        <w:tc>
          <w:tcPr>
            <w:tcW w:w="992" w:type="dxa"/>
            <w:noWrap w:val="0"/>
            <w:vAlign w:val="center"/>
          </w:tcPr>
          <w:p w14:paraId="189D5D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920C4B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木质家具制造业污染物排放满足《工业企业挥发性有机物排放控制标准》(DB13/2322-2016)和《挥发性有机物无组织排放控制标准》(GB37822-2019)中相应排放限值要求。2.全面加强原辅材料源头替代，从源头减少VOCs产生。涉VOCs重点企业全面执行《挥发性有机物无组织排放控制标准》(GB37822-2019)。选择适宜的废气治理工艺，对VOCs污染源进行有效处理。3.砖瓦行业污染物排放满足《砖瓦工业大气污染物排放标准》（GB2962-2013）及修改单中相应排放限值要求。4.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5.生活垃圾填埋场大气污染物排放执行《生活垃圾填埋场恶臭污染物排放标准》(DB13/2697-2018)相应排放限值要求。6.加快完善区域污水管网建设，提高污水收集率，严禁生活污水不经处理直接外排。7. 现有及新（改、扩）建向环境水体直接排放污水的排污单位满足《子牙河流域水污染物排放标准》（DB13/2796-2018)相应排放限值要求。</w:t>
            </w:r>
          </w:p>
        </w:tc>
      </w:tr>
      <w:tr w14:paraId="0D04A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08" w:hRule="atLeast"/>
          <w:jc w:val="center"/>
        </w:trPr>
        <w:tc>
          <w:tcPr>
            <w:tcW w:w="595" w:type="dxa"/>
            <w:vMerge w:val="continue"/>
            <w:noWrap w:val="0"/>
            <w:vAlign w:val="center"/>
          </w:tcPr>
          <w:p w14:paraId="49B75C2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87C455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B62FFEE">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96794A1">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E35182B">
            <w:pPr>
              <w:widowControl/>
              <w:spacing w:line="0" w:lineRule="atLeast"/>
              <w:jc w:val="center"/>
              <w:rPr>
                <w:rFonts w:ascii="仿宋" w:hAnsi="仿宋" w:eastAsia="仿宋" w:cs="仿宋"/>
                <w:bCs/>
                <w:spacing w:val="-10"/>
                <w:kern w:val="0"/>
                <w:sz w:val="24"/>
              </w:rPr>
            </w:pPr>
          </w:p>
        </w:tc>
        <w:tc>
          <w:tcPr>
            <w:tcW w:w="992" w:type="dxa"/>
            <w:noWrap w:val="0"/>
            <w:vAlign w:val="center"/>
          </w:tcPr>
          <w:p w14:paraId="4A8ADB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05E7CB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1.</w:t>
            </w:r>
            <w:r>
              <w:rPr>
                <w:rFonts w:hint="eastAsia" w:ascii="仿宋" w:hAnsi="仿宋" w:eastAsia="仿宋" w:cs="仿宋"/>
                <w:color w:val="auto"/>
                <w:spacing w:val="-10"/>
                <w:kern w:val="2"/>
                <w:sz w:val="25"/>
                <w:szCs w:val="25"/>
                <w:lang w:eastAsia="zh-CN"/>
              </w:rPr>
              <w:t>定期对土壤污染重点监管单位和地下水污染防治重点排污单位名录周边土壤、地下水开展监督性监测</w:t>
            </w:r>
            <w:r>
              <w:rPr>
                <w:rFonts w:hint="eastAsia" w:ascii="仿宋" w:hAnsi="仿宋" w:eastAsia="仿宋" w:cs="仿宋"/>
                <w:spacing w:val="-10"/>
                <w:kern w:val="0"/>
                <w:sz w:val="24"/>
              </w:rPr>
              <w:t>。2.填埋场必须进行防渗处理，应符合《生活垃圾卫生填埋场防渗系统工程技术规范》(CJJ113-2017)中相关要求。3.</w:t>
            </w: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3639A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76ED89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8B74AD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CD7A718">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207085F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2BB85713">
            <w:pPr>
              <w:widowControl/>
              <w:spacing w:line="0" w:lineRule="atLeast"/>
              <w:jc w:val="center"/>
              <w:rPr>
                <w:rFonts w:ascii="仿宋" w:hAnsi="仿宋" w:eastAsia="仿宋" w:cs="仿宋"/>
                <w:bCs/>
                <w:spacing w:val="-10"/>
                <w:kern w:val="0"/>
                <w:sz w:val="24"/>
              </w:rPr>
            </w:pPr>
          </w:p>
        </w:tc>
        <w:tc>
          <w:tcPr>
            <w:tcW w:w="992" w:type="dxa"/>
            <w:noWrap w:val="0"/>
            <w:vAlign w:val="center"/>
          </w:tcPr>
          <w:p w14:paraId="482BD5B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F8B5C7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2DCB1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78" w:hRule="atLeast"/>
          <w:jc w:val="center"/>
        </w:trPr>
        <w:tc>
          <w:tcPr>
            <w:tcW w:w="595" w:type="dxa"/>
            <w:vMerge w:val="restart"/>
            <w:noWrap w:val="0"/>
            <w:vAlign w:val="center"/>
          </w:tcPr>
          <w:p w14:paraId="540CC01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ZH13040720053</w:t>
            </w:r>
          </w:p>
        </w:tc>
        <w:tc>
          <w:tcPr>
            <w:tcW w:w="567" w:type="dxa"/>
            <w:vMerge w:val="restart"/>
            <w:noWrap w:val="0"/>
            <w:vAlign w:val="center"/>
          </w:tcPr>
          <w:p w14:paraId="567A96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0AD9C9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大寺上镇、天台山镇、辛安镇镇</w:t>
            </w:r>
          </w:p>
        </w:tc>
        <w:tc>
          <w:tcPr>
            <w:tcW w:w="732" w:type="dxa"/>
            <w:vMerge w:val="restart"/>
            <w:noWrap w:val="0"/>
            <w:vAlign w:val="center"/>
          </w:tcPr>
          <w:p w14:paraId="2B0C101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7B1D3A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大气环境受体敏感重点管控区、水环境农业污染重点管控区、地下水开采重点管控区</w:t>
            </w:r>
          </w:p>
        </w:tc>
        <w:tc>
          <w:tcPr>
            <w:tcW w:w="992" w:type="dxa"/>
            <w:noWrap w:val="0"/>
            <w:vAlign w:val="center"/>
          </w:tcPr>
          <w:p w14:paraId="0019735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840F22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禁止建设生产和使用高VOCs含量的溶剂型涂料、油墨、胶粘剂等项目。3.严格地下水管理，地下水禁采区和地下水限采区内按照《河北省人民政府关于公布地下水超采区和禁止开采区、限制开采区范围的通知》（冀政字〔2022〕59号）要求执行。</w:t>
            </w:r>
          </w:p>
        </w:tc>
      </w:tr>
      <w:tr w14:paraId="07690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99" w:hRule="atLeast"/>
          <w:jc w:val="center"/>
        </w:trPr>
        <w:tc>
          <w:tcPr>
            <w:tcW w:w="595" w:type="dxa"/>
            <w:vMerge w:val="continue"/>
            <w:noWrap w:val="0"/>
            <w:vAlign w:val="center"/>
          </w:tcPr>
          <w:p w14:paraId="4032B27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959EB2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810E36C">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BC12E9B">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FDF7F95">
            <w:pPr>
              <w:widowControl/>
              <w:spacing w:line="0" w:lineRule="atLeast"/>
              <w:jc w:val="center"/>
              <w:rPr>
                <w:rFonts w:ascii="仿宋" w:hAnsi="仿宋" w:eastAsia="仿宋" w:cs="仿宋"/>
                <w:bCs/>
                <w:spacing w:val="-10"/>
                <w:kern w:val="0"/>
                <w:sz w:val="24"/>
              </w:rPr>
            </w:pPr>
          </w:p>
        </w:tc>
        <w:tc>
          <w:tcPr>
            <w:tcW w:w="992" w:type="dxa"/>
            <w:noWrap w:val="0"/>
            <w:vAlign w:val="center"/>
          </w:tcPr>
          <w:p w14:paraId="6C8040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0547FD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木质家具制造业污染物排放满足《工业企业挥发性有机物排放控制标准》(DB13/2322-2016)和《挥发性有机物无组织排放控制标准》(GB37822-2019)中相应排放限值要求。2.全面加强原辅材料源头替代，从源头减少VOCs产生。涉VOCs重点企业全面执行《挥发性有机物无组织排放控制标准》(GB37822-2019)。选择适宜的废气治理工艺，对VOCs污染源进行有效处理。3.水泥行业污染物排放满足《水泥工业大气污染物超低排放标准》（DB13/2167-2020）中相应排放限值要求。4.国电电力邯郸东郊热电有限责任公司有组织和无组织排放稳定实现超低排放，实现超低新常态。5.现有及新（改、扩）建向环境水体直接排放污水的排污单位满足《子牙河流域水污染物排放标准》（DB13/2796-2018)相应排放限值要求。</w:t>
            </w:r>
          </w:p>
        </w:tc>
      </w:tr>
      <w:tr w14:paraId="66F95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B3FC56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E66A40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B78EDCE">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2BC5EB40">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5A14E5A3">
            <w:pPr>
              <w:widowControl/>
              <w:spacing w:line="0" w:lineRule="atLeast"/>
              <w:jc w:val="center"/>
              <w:rPr>
                <w:rFonts w:ascii="仿宋" w:hAnsi="仿宋" w:eastAsia="仿宋" w:cs="仿宋"/>
                <w:bCs/>
                <w:spacing w:val="-10"/>
                <w:kern w:val="0"/>
                <w:sz w:val="24"/>
              </w:rPr>
            </w:pPr>
          </w:p>
        </w:tc>
        <w:tc>
          <w:tcPr>
            <w:tcW w:w="992" w:type="dxa"/>
            <w:noWrap w:val="0"/>
            <w:vAlign w:val="center"/>
          </w:tcPr>
          <w:p w14:paraId="76DB11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AEF05DD">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2DF7B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5146C2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14A182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D865BB8">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E8EC33E">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26C943E">
            <w:pPr>
              <w:widowControl/>
              <w:spacing w:line="0" w:lineRule="atLeast"/>
              <w:jc w:val="center"/>
              <w:rPr>
                <w:rFonts w:ascii="仿宋" w:hAnsi="仿宋" w:eastAsia="仿宋" w:cs="仿宋"/>
                <w:bCs/>
                <w:spacing w:val="-10"/>
                <w:kern w:val="0"/>
                <w:sz w:val="24"/>
              </w:rPr>
            </w:pPr>
          </w:p>
        </w:tc>
        <w:tc>
          <w:tcPr>
            <w:tcW w:w="992" w:type="dxa"/>
            <w:noWrap w:val="0"/>
            <w:vAlign w:val="center"/>
          </w:tcPr>
          <w:p w14:paraId="775DA2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086D9B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1.禁燃区内严格按照相应的高污染燃料禁燃区的通告要求执行。2.地下水开发利用应当以浅层地下水为主。深层地下水作为战略储备水源、应急供水水源、无替代水源地区的居民生活水源，应当严格限制开采。</w:t>
            </w:r>
          </w:p>
        </w:tc>
      </w:tr>
      <w:tr w14:paraId="3FDB2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23E3E3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ZH13040720054</w:t>
            </w:r>
          </w:p>
        </w:tc>
        <w:tc>
          <w:tcPr>
            <w:tcW w:w="567" w:type="dxa"/>
            <w:vMerge w:val="restart"/>
            <w:noWrap w:val="0"/>
            <w:vAlign w:val="center"/>
          </w:tcPr>
          <w:p w14:paraId="0A35EF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5B4DBC0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大寺上镇、天台山镇、辛安镇镇</w:t>
            </w:r>
          </w:p>
        </w:tc>
        <w:tc>
          <w:tcPr>
            <w:tcW w:w="732" w:type="dxa"/>
            <w:vMerge w:val="restart"/>
            <w:noWrap w:val="0"/>
            <w:vAlign w:val="center"/>
          </w:tcPr>
          <w:p w14:paraId="1B40C32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0D3D06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大气环境高排放重点管控区、水环境工业污染重点管控区、肥乡县循环经济园区、地下水开采重点管控区</w:t>
            </w:r>
          </w:p>
        </w:tc>
        <w:tc>
          <w:tcPr>
            <w:tcW w:w="992" w:type="dxa"/>
            <w:noWrap w:val="0"/>
            <w:vAlign w:val="center"/>
          </w:tcPr>
          <w:p w14:paraId="44E8B9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FCED35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w:t>
            </w:r>
            <w:r>
              <w:rPr>
                <w:rFonts w:hint="eastAsia" w:ascii="仿宋" w:hAnsi="仿宋" w:eastAsia="仿宋" w:cs="仿宋"/>
                <w:color w:val="auto"/>
                <w:spacing w:val="-10"/>
                <w:sz w:val="24"/>
                <w:szCs w:val="24"/>
                <w:lang w:val="en-US" w:eastAsia="zh-CN"/>
              </w:rPr>
              <w:t>3.</w:t>
            </w:r>
            <w:r>
              <w:rPr>
                <w:rFonts w:hint="eastAsia" w:ascii="仿宋" w:hAnsi="仿宋" w:eastAsia="仿宋" w:cs="仿宋"/>
                <w:color w:val="auto"/>
                <w:spacing w:val="-10"/>
                <w:sz w:val="24"/>
                <w:szCs w:val="24"/>
                <w:lang w:eastAsia="zh-CN"/>
              </w:rPr>
              <w:t>严格地下水管理，地下水禁采区和地下水限采区内按照《河北省人民政府关于公布地下水超采区和禁止开采区、限制开采区范围的通知》（冀政字〔2022〕59号）要求执行。</w:t>
            </w:r>
          </w:p>
        </w:tc>
      </w:tr>
      <w:tr w14:paraId="1BD1D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F764A5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4C24B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3192BF8">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6C34215">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095C9DCB">
            <w:pPr>
              <w:widowControl/>
              <w:spacing w:line="0" w:lineRule="atLeast"/>
              <w:jc w:val="center"/>
              <w:rPr>
                <w:rFonts w:ascii="仿宋" w:hAnsi="仿宋" w:eastAsia="仿宋" w:cs="仿宋"/>
                <w:bCs/>
                <w:spacing w:val="-10"/>
                <w:kern w:val="0"/>
                <w:sz w:val="24"/>
              </w:rPr>
            </w:pPr>
          </w:p>
        </w:tc>
        <w:tc>
          <w:tcPr>
            <w:tcW w:w="992" w:type="dxa"/>
            <w:noWrap w:val="0"/>
            <w:vAlign w:val="center"/>
          </w:tcPr>
          <w:p w14:paraId="0C539E4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07C88E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工业企业污染物排放满足《工业企业挥发性有机物排放控制标准》（DB13/2322-2016）、《挥发性有机物无组织排放控制标准》（GB37822-2019）、《锅炉大气污染物排放标准》（DB13/5161-2020）、《工业炉窑大气污染物排放标准》（DB13/1640-2012）相应排放限值要求，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593EF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4BDB09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F08990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F87F1D5">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7B5E7943">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3E654BF">
            <w:pPr>
              <w:widowControl/>
              <w:spacing w:line="0" w:lineRule="atLeast"/>
              <w:jc w:val="center"/>
              <w:rPr>
                <w:rFonts w:ascii="仿宋" w:hAnsi="仿宋" w:eastAsia="仿宋" w:cs="仿宋"/>
                <w:bCs/>
                <w:spacing w:val="-10"/>
                <w:kern w:val="0"/>
                <w:sz w:val="24"/>
              </w:rPr>
            </w:pPr>
          </w:p>
        </w:tc>
        <w:tc>
          <w:tcPr>
            <w:tcW w:w="992" w:type="dxa"/>
            <w:noWrap w:val="0"/>
            <w:vAlign w:val="center"/>
          </w:tcPr>
          <w:p w14:paraId="18EB1BF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AE54D3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38787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E429CC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30B2AF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A9DB5FB">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6A2CD115">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5152D7B8">
            <w:pPr>
              <w:widowControl/>
              <w:spacing w:line="0" w:lineRule="atLeast"/>
              <w:jc w:val="center"/>
              <w:rPr>
                <w:rFonts w:ascii="仿宋" w:hAnsi="仿宋" w:eastAsia="仿宋" w:cs="仿宋"/>
                <w:bCs/>
                <w:spacing w:val="-10"/>
                <w:kern w:val="0"/>
                <w:sz w:val="24"/>
              </w:rPr>
            </w:pPr>
          </w:p>
        </w:tc>
        <w:tc>
          <w:tcPr>
            <w:tcW w:w="992" w:type="dxa"/>
            <w:noWrap w:val="0"/>
            <w:vAlign w:val="center"/>
          </w:tcPr>
          <w:p w14:paraId="046E167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F32060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21172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80B894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ZH13040720055</w:t>
            </w:r>
          </w:p>
        </w:tc>
        <w:tc>
          <w:tcPr>
            <w:tcW w:w="567" w:type="dxa"/>
            <w:vMerge w:val="restart"/>
            <w:noWrap w:val="0"/>
            <w:vAlign w:val="center"/>
          </w:tcPr>
          <w:p w14:paraId="188963B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25DAF4E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辛安镇镇</w:t>
            </w:r>
          </w:p>
        </w:tc>
        <w:tc>
          <w:tcPr>
            <w:tcW w:w="732" w:type="dxa"/>
            <w:vMerge w:val="restart"/>
            <w:noWrap w:val="0"/>
            <w:vAlign w:val="center"/>
          </w:tcPr>
          <w:p w14:paraId="6BB2E0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51106E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大气环境高排放重点管控区、水环境工业污染重点管控区、邯郸市肥乡区酿造工业园区、地下水开采重点管控区</w:t>
            </w:r>
          </w:p>
        </w:tc>
        <w:tc>
          <w:tcPr>
            <w:tcW w:w="992" w:type="dxa"/>
            <w:noWrap w:val="0"/>
            <w:vAlign w:val="center"/>
          </w:tcPr>
          <w:p w14:paraId="070638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1FB704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w:t>
            </w:r>
            <w:r>
              <w:rPr>
                <w:rFonts w:hint="eastAsia" w:ascii="仿宋" w:hAnsi="仿宋" w:eastAsia="仿宋" w:cs="仿宋"/>
                <w:color w:val="auto"/>
                <w:spacing w:val="-10"/>
                <w:sz w:val="24"/>
                <w:szCs w:val="24"/>
                <w:lang w:val="en-US" w:eastAsia="zh-CN"/>
              </w:rPr>
              <w:t>3</w:t>
            </w:r>
            <w:r>
              <w:rPr>
                <w:rFonts w:hint="eastAsia" w:ascii="仿宋" w:hAnsi="仿宋" w:eastAsia="仿宋" w:cs="仿宋"/>
                <w:color w:val="auto"/>
                <w:spacing w:val="-10"/>
                <w:sz w:val="24"/>
                <w:szCs w:val="24"/>
                <w:lang w:eastAsia="zh-CN"/>
              </w:rPr>
              <w:t>.合理控制周边建设项目布局，控制与居住区之间的防护距离，不得对居住区环境产生明显不利影响。</w:t>
            </w:r>
            <w:r>
              <w:rPr>
                <w:rFonts w:hint="eastAsia" w:ascii="仿宋" w:hAnsi="仿宋" w:eastAsia="仿宋" w:cs="仿宋"/>
                <w:color w:val="auto"/>
                <w:spacing w:val="-10"/>
                <w:sz w:val="24"/>
                <w:szCs w:val="24"/>
                <w:lang w:val="en-US" w:eastAsia="zh-CN"/>
              </w:rPr>
              <w:t>4</w:t>
            </w:r>
            <w:r>
              <w:rPr>
                <w:rFonts w:hint="eastAsia" w:ascii="仿宋" w:hAnsi="仿宋" w:eastAsia="仿宋" w:cs="仿宋"/>
                <w:color w:val="auto"/>
                <w:spacing w:val="-10"/>
                <w:sz w:val="24"/>
                <w:szCs w:val="24"/>
                <w:lang w:eastAsia="zh-CN"/>
              </w:rPr>
              <w:t>.严格地下水管理，地下水禁采区和地下水限采区内按照《河北省人民政府关于公布地下水超采区和禁止开采区、限制开采区范围的通知》（冀政字〔2022〕59号）要求执行。</w:t>
            </w:r>
          </w:p>
        </w:tc>
      </w:tr>
      <w:tr w14:paraId="0091C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EA78E7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540CFB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5FA8ED7">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7770C8D8">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5A428767">
            <w:pPr>
              <w:widowControl/>
              <w:spacing w:line="0" w:lineRule="atLeast"/>
              <w:jc w:val="center"/>
              <w:rPr>
                <w:rFonts w:ascii="仿宋" w:hAnsi="仿宋" w:eastAsia="仿宋" w:cs="仿宋"/>
                <w:bCs/>
                <w:spacing w:val="-10"/>
                <w:kern w:val="0"/>
                <w:sz w:val="24"/>
              </w:rPr>
            </w:pPr>
          </w:p>
        </w:tc>
        <w:tc>
          <w:tcPr>
            <w:tcW w:w="992" w:type="dxa"/>
            <w:noWrap w:val="0"/>
            <w:vAlign w:val="center"/>
          </w:tcPr>
          <w:p w14:paraId="607C42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7336AAD4">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入区项目严格按照《关于加强重点行业建设项目区域削减措施管理的通知》的相关要求，实施二氧化硫、氮氧化物、颗粒物、挥发性有机物四项污染物倍量削减替代；2.对涉粉状物料行业企业开展提升改造专项行动，从生产工艺、产品质量、产能规模、污染治理等方面提出具体治理任务，确保无组织排放得到全面控制；3.对于国家排放标准中已规定大气污染物特别排放限值的行业，新建项目执行大气污染物特别排放限值，现有企业或设施按照相应标准中时间要求执行特别排放限值，有行业标准的从严执行；4.强化涉 VOCs 企业“一厂一策”精细管控，完善源头、过程和末端的 VOCs 全过程控制体系；5.以食品、酿造企业为重点，提高企业清洁生产水平，全面推行强制性清洁生产审核，清洁生产水平达到国内先进及以上水平；6.园区内各企业污水需通过自建污水处理设施处理满足相关要求后排入集中污水处理厂处理；7.对农副食品加工等重点行业的新建、改建、扩建项目实行新增主要水环境污染物排放倍量替换。</w:t>
            </w:r>
          </w:p>
        </w:tc>
      </w:tr>
      <w:tr w14:paraId="4E56EF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8B9A8F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F98732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4812933">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A2A39D3">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ECC4C17">
            <w:pPr>
              <w:widowControl/>
              <w:spacing w:line="0" w:lineRule="atLeast"/>
              <w:jc w:val="center"/>
              <w:rPr>
                <w:rFonts w:ascii="仿宋" w:hAnsi="仿宋" w:eastAsia="仿宋" w:cs="仿宋"/>
                <w:bCs/>
                <w:spacing w:val="-10"/>
                <w:kern w:val="0"/>
                <w:sz w:val="24"/>
              </w:rPr>
            </w:pPr>
          </w:p>
        </w:tc>
        <w:tc>
          <w:tcPr>
            <w:tcW w:w="992" w:type="dxa"/>
            <w:noWrap w:val="0"/>
            <w:vAlign w:val="center"/>
          </w:tcPr>
          <w:p w14:paraId="0323966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9506134">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1.涉风险企业编制突发环境事件应急预案并在相关生态环境部门备案；2.合理布置产生有害因素的生产单元，入区项目选址须满足环境风险预测有毒有害物质毒性浓度 1范围内无敏感点；3.严格落实规划环评及其批复文件制定的环境风险防范措施；4.完善园区安全管理机构：建立和健全园区和各企业的安全管理环境风险防控机构，制定环境风险事故应急预案；5.产生危险废物的单位应当按照国家有关规定制定危险废物管理计划，建立危险废物管理台账，如实记录危险废物的种类、产生量、流向、贮存、处置等信息，危险废物的种类、产生量、流向、贮存、利用、处置等有关信息应当通过固体废物管理信息系统进行申报，确保实现闭环管理。</w:t>
            </w:r>
          </w:p>
        </w:tc>
      </w:tr>
      <w:tr w14:paraId="6C791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5936C5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391FEA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3CACAA0">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B67A15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338C483">
            <w:pPr>
              <w:widowControl/>
              <w:spacing w:line="0" w:lineRule="atLeast"/>
              <w:jc w:val="center"/>
              <w:rPr>
                <w:rFonts w:ascii="仿宋" w:hAnsi="仿宋" w:eastAsia="仿宋" w:cs="仿宋"/>
                <w:bCs/>
                <w:spacing w:val="-10"/>
                <w:kern w:val="0"/>
                <w:sz w:val="24"/>
              </w:rPr>
            </w:pPr>
          </w:p>
        </w:tc>
        <w:tc>
          <w:tcPr>
            <w:tcW w:w="992" w:type="dxa"/>
            <w:noWrap w:val="0"/>
            <w:vAlign w:val="center"/>
          </w:tcPr>
          <w:p w14:paraId="22937B5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89EE73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地下水开发利用应当以浅层地下水为主。深层地下水作为战略储备水源、应急供水水源、无替代水源地区的居民生活水源，应当严格限制开采；2.严格控制高耗水、高耗能项目建设，提高市场准入门槛；3.规划入区项目采用资源利用率高的清洁生产技术、工艺和设备，单位产品物耗、能耗、水耗、资源综合利用和污染物排放量等指标达到清洁生产先进水平；推进企业内部工业用水循环利用，提高重复利用率</w:t>
            </w:r>
            <w:r>
              <w:rPr>
                <w:rFonts w:hint="eastAsia" w:ascii="仿宋" w:hAnsi="仿宋" w:eastAsia="仿宋" w:cs="仿宋"/>
                <w:bCs/>
                <w:spacing w:val="-10"/>
                <w:kern w:val="0"/>
                <w:sz w:val="24"/>
                <w:lang w:eastAsia="zh-CN"/>
              </w:rPr>
              <w:t>。</w:t>
            </w:r>
          </w:p>
        </w:tc>
      </w:tr>
      <w:tr w14:paraId="51F89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2CA15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ZH13040720056</w:t>
            </w:r>
          </w:p>
        </w:tc>
        <w:tc>
          <w:tcPr>
            <w:tcW w:w="567" w:type="dxa"/>
            <w:vMerge w:val="restart"/>
            <w:noWrap w:val="0"/>
            <w:vAlign w:val="center"/>
          </w:tcPr>
          <w:p w14:paraId="2056C52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1CD457B8">
            <w:pPr>
              <w:widowControl/>
              <w:spacing w:line="0" w:lineRule="atLeast"/>
              <w:jc w:val="center"/>
              <w:rPr>
                <w:rFonts w:hint="eastAsia" w:ascii="仿宋" w:hAnsi="仿宋" w:eastAsia="仿宋" w:cs="仿宋"/>
                <w:bCs/>
                <w:spacing w:val="-10"/>
                <w:kern w:val="0"/>
                <w:sz w:val="24"/>
                <w:lang w:eastAsia="zh-CN"/>
              </w:rPr>
            </w:pPr>
            <w:r>
              <w:rPr>
                <w:rFonts w:hint="eastAsia" w:ascii="仿宋" w:hAnsi="仿宋" w:eastAsia="仿宋" w:cs="仿宋"/>
                <w:bCs/>
                <w:spacing w:val="-10"/>
                <w:kern w:val="0"/>
                <w:sz w:val="24"/>
              </w:rPr>
              <w:t>东漳堡镇、</w:t>
            </w:r>
            <w:r>
              <w:rPr>
                <w:rFonts w:hint="eastAsia" w:ascii="仿宋" w:hAnsi="仿宋" w:eastAsia="仿宋" w:cs="仿宋"/>
                <w:bCs/>
                <w:spacing w:val="-10"/>
                <w:kern w:val="0"/>
                <w:sz w:val="24"/>
                <w:lang w:eastAsia="zh-CN"/>
              </w:rPr>
              <w:t>北高镇</w:t>
            </w:r>
          </w:p>
        </w:tc>
        <w:tc>
          <w:tcPr>
            <w:tcW w:w="732" w:type="dxa"/>
            <w:vMerge w:val="restart"/>
            <w:noWrap w:val="0"/>
            <w:vAlign w:val="center"/>
          </w:tcPr>
          <w:p w14:paraId="5A0969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15EC78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大气环境高排放重点管控区、水环境工业污染重点管控区、京津新材料产业园、地下水开采重点管控区</w:t>
            </w:r>
          </w:p>
        </w:tc>
        <w:tc>
          <w:tcPr>
            <w:tcW w:w="992" w:type="dxa"/>
            <w:noWrap w:val="0"/>
            <w:vAlign w:val="center"/>
          </w:tcPr>
          <w:p w14:paraId="577BEF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2537D8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3.严格地下水管理，地下水禁采区和地下水限采区内按照《河北省人民政府关于公布地下水超采区和禁止开采区、限制开采区范围的通知》（冀政字〔2022〕59号）要求执行。</w:t>
            </w:r>
          </w:p>
        </w:tc>
      </w:tr>
      <w:tr w14:paraId="2E32D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8CC564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60BC30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A024A4F">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6D0B59A">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891AEF6">
            <w:pPr>
              <w:widowControl/>
              <w:spacing w:line="0" w:lineRule="atLeast"/>
              <w:jc w:val="center"/>
              <w:rPr>
                <w:rFonts w:ascii="仿宋" w:hAnsi="仿宋" w:eastAsia="仿宋" w:cs="仿宋"/>
                <w:bCs/>
                <w:spacing w:val="-10"/>
                <w:kern w:val="0"/>
                <w:sz w:val="24"/>
              </w:rPr>
            </w:pPr>
          </w:p>
        </w:tc>
        <w:tc>
          <w:tcPr>
            <w:tcW w:w="992" w:type="dxa"/>
            <w:noWrap w:val="0"/>
            <w:vAlign w:val="center"/>
          </w:tcPr>
          <w:p w14:paraId="34439F8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1F539B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1.工业企业污染物排放满足《大气污染物综合排放标准》（GB16297-1996）表 2 二级标准；《恶臭污染物排放标准》（GB14554－93）表 1 新改扩二级标准和表 2 标准；《锅炉大气污染物排放标准》（GB13271-2014）表 3 大气污染物特别排放限值；《河北省大气污染防治工作领导小组关于开展燃气锅炉氮氧化物治理工作的通知》（冀气领办[2018]171 号）相关标准；非甲烷总烃等有机废气执行《工业企业挥发性有机物排放控制标准》（DB13/2322-2016）。2.园区企业废水自行处理后全部排入污水处理厂集中处理，各企业排放废水有行业标准的执行其行业标准和污水处理厂进水水质要求，无行业排放标准的执行《污水综合排放标准》（GB8978-1996）表 4 中三级标准和污水处理厂进水水质要求。污水处理厂排水执行《子牙河流域水污染物排放标准》（DB13/2796-2018）一般控制区标准、《城市污水再生利用 景观环境用水水质》（GB/T18921-2002）及《城镇污水处理厂污染物排放标准》（GB18918－2002）的一级 A 标准；再生水回用执行《城市污水再生利用 城市杂用水水质》（GB/T18920-2002）标准、《城市污水再生利用 工业用水水质》（GB/T19923-2005）。</w:t>
            </w:r>
          </w:p>
        </w:tc>
      </w:tr>
      <w:tr w14:paraId="02282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E4B49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744B39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FA52FAC">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2FB13982">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56814AF">
            <w:pPr>
              <w:widowControl/>
              <w:spacing w:line="0" w:lineRule="atLeast"/>
              <w:jc w:val="center"/>
              <w:rPr>
                <w:rFonts w:ascii="仿宋" w:hAnsi="仿宋" w:eastAsia="仿宋" w:cs="仿宋"/>
                <w:bCs/>
                <w:spacing w:val="-10"/>
                <w:kern w:val="0"/>
                <w:sz w:val="24"/>
              </w:rPr>
            </w:pPr>
          </w:p>
        </w:tc>
        <w:tc>
          <w:tcPr>
            <w:tcW w:w="992" w:type="dxa"/>
            <w:noWrap w:val="0"/>
            <w:vAlign w:val="center"/>
          </w:tcPr>
          <w:p w14:paraId="294D159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FDE0ED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3DD70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0D59B7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2E6B8E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BA3A23A">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32C24BD3">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83A58CA">
            <w:pPr>
              <w:widowControl/>
              <w:spacing w:line="0" w:lineRule="atLeast"/>
              <w:jc w:val="center"/>
              <w:rPr>
                <w:rFonts w:ascii="仿宋" w:hAnsi="仿宋" w:eastAsia="仿宋" w:cs="仿宋"/>
                <w:bCs/>
                <w:spacing w:val="-10"/>
                <w:kern w:val="0"/>
                <w:sz w:val="24"/>
              </w:rPr>
            </w:pPr>
          </w:p>
        </w:tc>
        <w:tc>
          <w:tcPr>
            <w:tcW w:w="992" w:type="dxa"/>
            <w:noWrap w:val="0"/>
            <w:vAlign w:val="center"/>
          </w:tcPr>
          <w:p w14:paraId="1CF696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3B5792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00F84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E020DD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ZH13040730054</w:t>
            </w:r>
          </w:p>
        </w:tc>
        <w:tc>
          <w:tcPr>
            <w:tcW w:w="567" w:type="dxa"/>
            <w:vMerge w:val="restart"/>
            <w:noWrap w:val="0"/>
            <w:vAlign w:val="center"/>
          </w:tcPr>
          <w:p w14:paraId="6388E07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肥乡区</w:t>
            </w:r>
          </w:p>
        </w:tc>
        <w:tc>
          <w:tcPr>
            <w:tcW w:w="851" w:type="dxa"/>
            <w:vMerge w:val="restart"/>
            <w:noWrap w:val="0"/>
            <w:vAlign w:val="center"/>
          </w:tcPr>
          <w:p w14:paraId="26A544D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东漳堡镇、</w:t>
            </w:r>
            <w:r>
              <w:rPr>
                <w:rFonts w:hint="eastAsia" w:ascii="仿宋" w:hAnsi="仿宋" w:eastAsia="仿宋" w:cs="仿宋"/>
                <w:bCs/>
                <w:spacing w:val="-10"/>
                <w:kern w:val="0"/>
                <w:sz w:val="24"/>
                <w:lang w:eastAsia="zh-CN"/>
              </w:rPr>
              <w:t>北高镇</w:t>
            </w:r>
            <w:r>
              <w:rPr>
                <w:rFonts w:hint="eastAsia" w:ascii="仿宋" w:hAnsi="仿宋" w:eastAsia="仿宋" w:cs="仿宋"/>
                <w:bCs/>
                <w:spacing w:val="-10"/>
                <w:kern w:val="0"/>
                <w:sz w:val="24"/>
              </w:rPr>
              <w:t>、西吕营镇、元固</w:t>
            </w:r>
            <w:r>
              <w:rPr>
                <w:rFonts w:hint="eastAsia" w:ascii="仿宋" w:hAnsi="仿宋" w:eastAsia="仿宋" w:cs="仿宋"/>
                <w:bCs/>
                <w:spacing w:val="-10"/>
                <w:kern w:val="0"/>
                <w:sz w:val="24"/>
                <w:lang w:eastAsia="zh-CN"/>
              </w:rPr>
              <w:t>镇</w:t>
            </w:r>
          </w:p>
        </w:tc>
        <w:tc>
          <w:tcPr>
            <w:tcW w:w="732" w:type="dxa"/>
            <w:vMerge w:val="restart"/>
            <w:noWrap w:val="0"/>
            <w:vAlign w:val="center"/>
          </w:tcPr>
          <w:p w14:paraId="7A80CB1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1111" w:type="dxa"/>
            <w:vMerge w:val="restart"/>
            <w:noWrap w:val="0"/>
            <w:vAlign w:val="center"/>
          </w:tcPr>
          <w:p w14:paraId="6BC4EE8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992" w:type="dxa"/>
            <w:noWrap w:val="0"/>
            <w:vAlign w:val="center"/>
          </w:tcPr>
          <w:p w14:paraId="4D08E66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8A9CC6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禁止建设生产和使用高VOCs含量的溶剂型涂料、油墨、胶粘剂等项目。3.严格地下水管理，地下水禁采区和地下水限采区内按照《河北省人民政府关于公布地下水超采区和禁止开采区、限制开采区范围的通知》（冀政字〔2022〕59号）要求执行。</w:t>
            </w:r>
          </w:p>
        </w:tc>
      </w:tr>
      <w:tr w14:paraId="67359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F04DB5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552618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2FE0195">
            <w:pPr>
              <w:widowControl/>
              <w:spacing w:line="0" w:lineRule="atLeast"/>
              <w:rPr>
                <w:rFonts w:ascii="仿宋" w:hAnsi="仿宋" w:eastAsia="仿宋" w:cs="仿宋"/>
                <w:bCs/>
                <w:spacing w:val="-10"/>
                <w:kern w:val="0"/>
                <w:sz w:val="24"/>
              </w:rPr>
            </w:pPr>
          </w:p>
        </w:tc>
        <w:tc>
          <w:tcPr>
            <w:tcW w:w="732" w:type="dxa"/>
            <w:vMerge w:val="continue"/>
            <w:noWrap w:val="0"/>
            <w:vAlign w:val="center"/>
          </w:tcPr>
          <w:p w14:paraId="788818F0">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1DAB0BB2">
            <w:pPr>
              <w:widowControl/>
              <w:spacing w:line="0" w:lineRule="atLeast"/>
              <w:jc w:val="center"/>
              <w:rPr>
                <w:rFonts w:ascii="仿宋" w:hAnsi="仿宋" w:eastAsia="仿宋" w:cs="仿宋"/>
                <w:bCs/>
                <w:spacing w:val="-10"/>
                <w:kern w:val="0"/>
                <w:sz w:val="24"/>
              </w:rPr>
            </w:pPr>
          </w:p>
        </w:tc>
        <w:tc>
          <w:tcPr>
            <w:tcW w:w="992" w:type="dxa"/>
            <w:noWrap w:val="0"/>
            <w:vAlign w:val="center"/>
          </w:tcPr>
          <w:p w14:paraId="0975189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7CA8CF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木质家具制造业污染物排放满足《工业企业挥发性有机物排放控制标准》(DB13/2322-2016)和《挥发性有机物无组织排放控制标准》(GB37822-2019)中相应排放限值要求。2.全面加强原辅材料源头替代，从源头减少VOCs产生。涉VOCs重点企业全面执行《挥发性有机物无组织排放控制标准》(GB37822-2019)。选择适宜的废气治理工艺，对VOCs污染源进行有效处理。3.水泥行业污染物排放满足《水泥工业大气污染物超低排放标准》（DB13/2167-2020）中相应排放限值要求。4.现有及新（改、扩）建向环境水体直接排放污水的排污单位满足《子牙河流域水污染物排放标准》（DB13/2796-2018)相应排放限值要求。</w:t>
            </w:r>
          </w:p>
        </w:tc>
      </w:tr>
      <w:tr w14:paraId="76232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BCFF6A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7E85F2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4714426">
            <w:pPr>
              <w:widowControl/>
              <w:spacing w:line="0" w:lineRule="atLeast"/>
              <w:rPr>
                <w:rFonts w:ascii="仿宋" w:hAnsi="仿宋" w:eastAsia="仿宋" w:cs="仿宋"/>
                <w:bCs/>
                <w:spacing w:val="-10"/>
                <w:kern w:val="0"/>
                <w:sz w:val="24"/>
              </w:rPr>
            </w:pPr>
          </w:p>
        </w:tc>
        <w:tc>
          <w:tcPr>
            <w:tcW w:w="732" w:type="dxa"/>
            <w:vMerge w:val="continue"/>
            <w:noWrap w:val="0"/>
            <w:vAlign w:val="center"/>
          </w:tcPr>
          <w:p w14:paraId="5AD00602">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365A9F9">
            <w:pPr>
              <w:widowControl/>
              <w:spacing w:line="0" w:lineRule="atLeast"/>
              <w:jc w:val="center"/>
              <w:rPr>
                <w:rFonts w:ascii="仿宋" w:hAnsi="仿宋" w:eastAsia="仿宋" w:cs="仿宋"/>
                <w:bCs/>
                <w:spacing w:val="-10"/>
                <w:kern w:val="0"/>
                <w:sz w:val="24"/>
              </w:rPr>
            </w:pPr>
          </w:p>
        </w:tc>
        <w:tc>
          <w:tcPr>
            <w:tcW w:w="992" w:type="dxa"/>
            <w:noWrap w:val="0"/>
            <w:vAlign w:val="center"/>
          </w:tcPr>
          <w:p w14:paraId="4FD0D8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47946A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25FBA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FD32CE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BFEDFB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E432A2F">
            <w:pPr>
              <w:widowControl/>
              <w:spacing w:line="0" w:lineRule="atLeast"/>
              <w:rPr>
                <w:rFonts w:ascii="仿宋" w:hAnsi="仿宋" w:eastAsia="仿宋" w:cs="仿宋"/>
                <w:bCs/>
                <w:spacing w:val="-10"/>
                <w:kern w:val="0"/>
                <w:sz w:val="24"/>
              </w:rPr>
            </w:pPr>
          </w:p>
        </w:tc>
        <w:tc>
          <w:tcPr>
            <w:tcW w:w="732" w:type="dxa"/>
            <w:vMerge w:val="continue"/>
            <w:noWrap w:val="0"/>
            <w:vAlign w:val="center"/>
          </w:tcPr>
          <w:p w14:paraId="19CBBA66">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1AD6EDA">
            <w:pPr>
              <w:widowControl/>
              <w:spacing w:line="0" w:lineRule="atLeast"/>
              <w:jc w:val="center"/>
              <w:rPr>
                <w:rFonts w:ascii="仿宋" w:hAnsi="仿宋" w:eastAsia="仿宋" w:cs="仿宋"/>
                <w:bCs/>
                <w:spacing w:val="-10"/>
                <w:kern w:val="0"/>
                <w:sz w:val="24"/>
              </w:rPr>
            </w:pPr>
          </w:p>
        </w:tc>
        <w:tc>
          <w:tcPr>
            <w:tcW w:w="992" w:type="dxa"/>
            <w:noWrap w:val="0"/>
            <w:vAlign w:val="center"/>
          </w:tcPr>
          <w:p w14:paraId="11C8362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6ED2F5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bl>
    <w:p w14:paraId="7ED30D0B">
      <w:pPr>
        <w:pStyle w:val="10"/>
        <w:numPr>
          <w:ilvl w:val="1"/>
          <w:numId w:val="0"/>
        </w:numPr>
        <w:spacing w:before="240"/>
        <w:jc w:val="left"/>
        <w:rPr>
          <w:rFonts w:ascii="仿宋" w:hAnsi="仿宋" w:eastAsia="仿宋" w:cs="仿宋"/>
          <w:b/>
          <w:sz w:val="28"/>
          <w:szCs w:val="18"/>
        </w:rPr>
      </w:pPr>
    </w:p>
    <w:p w14:paraId="0FA98062">
      <w:pPr>
        <w:pStyle w:val="10"/>
        <w:numPr>
          <w:ilvl w:val="1"/>
          <w:numId w:val="0"/>
        </w:numPr>
        <w:spacing w:beforeLines="50"/>
        <w:outlineLvl w:val="1"/>
        <w:rPr>
          <w:rFonts w:ascii="仿宋" w:hAnsi="仿宋" w:eastAsia="仿宋" w:cs="仿宋"/>
        </w:rPr>
      </w:pPr>
      <w:r>
        <w:rPr>
          <w:rFonts w:hint="eastAsia" w:ascii="仿宋" w:hAnsi="仿宋" w:eastAsia="仿宋" w:cs="仿宋"/>
        </w:rPr>
        <w:br w:type="page"/>
      </w:r>
      <w:r>
        <w:rPr>
          <w:rFonts w:hint="eastAsia" w:ascii="仿宋" w:hAnsi="仿宋" w:eastAsia="仿宋" w:cs="仿宋"/>
          <w:bCs/>
          <w:sz w:val="32"/>
          <w:szCs w:val="32"/>
        </w:rPr>
        <w:t>（六）永年区生态环境准入清单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851"/>
        <w:gridCol w:w="732"/>
        <w:gridCol w:w="1111"/>
        <w:gridCol w:w="992"/>
        <w:gridCol w:w="4053"/>
      </w:tblGrid>
      <w:tr w14:paraId="5D2D8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13794B0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0F2EF76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851" w:type="dxa"/>
            <w:shd w:val="clear" w:color="auto" w:fill="D7D7D7"/>
            <w:noWrap w:val="0"/>
            <w:vAlign w:val="center"/>
          </w:tcPr>
          <w:p w14:paraId="673E9A1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32" w:type="dxa"/>
            <w:shd w:val="clear" w:color="auto" w:fill="D7D7D7"/>
            <w:noWrap w:val="0"/>
            <w:vAlign w:val="center"/>
          </w:tcPr>
          <w:p w14:paraId="040ED0AB">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1111" w:type="dxa"/>
            <w:shd w:val="clear" w:color="auto" w:fill="D7D7D7"/>
            <w:noWrap w:val="0"/>
            <w:vAlign w:val="center"/>
          </w:tcPr>
          <w:p w14:paraId="3DB01DE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992" w:type="dxa"/>
            <w:shd w:val="clear" w:color="auto" w:fill="D7D7D7"/>
            <w:noWrap w:val="0"/>
            <w:vAlign w:val="center"/>
          </w:tcPr>
          <w:p w14:paraId="399BB85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554518F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5F1A0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3DD18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ZH13040810054</w:t>
            </w:r>
          </w:p>
        </w:tc>
        <w:tc>
          <w:tcPr>
            <w:tcW w:w="567" w:type="dxa"/>
            <w:vMerge w:val="restart"/>
            <w:noWrap w:val="0"/>
            <w:vAlign w:val="center"/>
          </w:tcPr>
          <w:p w14:paraId="5918867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699B22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临洺关镇、张西堡镇、广府镇、永合会镇、刘营镇、东杨庄镇、讲武镇、西苏镇、曲陌乡、辛庄堡乡、西河庄乡、西阳城乡</w:t>
            </w:r>
          </w:p>
        </w:tc>
        <w:tc>
          <w:tcPr>
            <w:tcW w:w="732" w:type="dxa"/>
            <w:vMerge w:val="restart"/>
            <w:noWrap w:val="0"/>
            <w:vAlign w:val="center"/>
          </w:tcPr>
          <w:p w14:paraId="3435B3C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1" w:type="dxa"/>
            <w:vMerge w:val="restart"/>
            <w:noWrap w:val="0"/>
            <w:vAlign w:val="center"/>
          </w:tcPr>
          <w:p w14:paraId="177EE88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992" w:type="dxa"/>
            <w:noWrap w:val="0"/>
            <w:vAlign w:val="center"/>
          </w:tcPr>
          <w:p w14:paraId="18BEFC8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64F82E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13D7C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BF2092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E25DEE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D68B7B5">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69855AC7">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562C158">
            <w:pPr>
              <w:widowControl/>
              <w:spacing w:line="0" w:lineRule="atLeast"/>
              <w:jc w:val="center"/>
              <w:rPr>
                <w:rFonts w:ascii="仿宋" w:hAnsi="仿宋" w:eastAsia="仿宋" w:cs="仿宋"/>
                <w:bCs/>
                <w:spacing w:val="-10"/>
                <w:kern w:val="0"/>
                <w:sz w:val="24"/>
              </w:rPr>
            </w:pPr>
          </w:p>
        </w:tc>
        <w:tc>
          <w:tcPr>
            <w:tcW w:w="992" w:type="dxa"/>
            <w:noWrap w:val="0"/>
            <w:vAlign w:val="center"/>
          </w:tcPr>
          <w:p w14:paraId="645F04E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26C108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1BBE3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81EEEE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989A1A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74A43B">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1AFEF56">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206E9E7">
            <w:pPr>
              <w:widowControl/>
              <w:spacing w:line="0" w:lineRule="atLeast"/>
              <w:jc w:val="center"/>
              <w:rPr>
                <w:rFonts w:ascii="仿宋" w:hAnsi="仿宋" w:eastAsia="仿宋" w:cs="仿宋"/>
                <w:bCs/>
                <w:spacing w:val="-10"/>
                <w:kern w:val="0"/>
                <w:sz w:val="24"/>
              </w:rPr>
            </w:pPr>
          </w:p>
        </w:tc>
        <w:tc>
          <w:tcPr>
            <w:tcW w:w="992" w:type="dxa"/>
            <w:noWrap w:val="0"/>
            <w:vAlign w:val="center"/>
          </w:tcPr>
          <w:p w14:paraId="2DB1E5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A7B4D9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4647D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4BCB0C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A72DD7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48B2469">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1A31260">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6C1096C">
            <w:pPr>
              <w:widowControl/>
              <w:spacing w:line="0" w:lineRule="atLeast"/>
              <w:jc w:val="center"/>
              <w:rPr>
                <w:rFonts w:ascii="仿宋" w:hAnsi="仿宋" w:eastAsia="仿宋" w:cs="仿宋"/>
                <w:bCs/>
                <w:spacing w:val="-10"/>
                <w:kern w:val="0"/>
                <w:sz w:val="24"/>
              </w:rPr>
            </w:pPr>
          </w:p>
        </w:tc>
        <w:tc>
          <w:tcPr>
            <w:tcW w:w="992" w:type="dxa"/>
            <w:noWrap w:val="0"/>
            <w:vAlign w:val="center"/>
          </w:tcPr>
          <w:p w14:paraId="79A2153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85BC20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06443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74342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ZH13040810055</w:t>
            </w:r>
          </w:p>
        </w:tc>
        <w:tc>
          <w:tcPr>
            <w:tcW w:w="567" w:type="dxa"/>
            <w:vMerge w:val="restart"/>
            <w:noWrap w:val="0"/>
            <w:vAlign w:val="center"/>
          </w:tcPr>
          <w:p w14:paraId="302BB4A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24150B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广府镇、张西堡镇</w:t>
            </w:r>
          </w:p>
        </w:tc>
        <w:tc>
          <w:tcPr>
            <w:tcW w:w="732" w:type="dxa"/>
            <w:vMerge w:val="restart"/>
            <w:noWrap w:val="0"/>
            <w:vAlign w:val="center"/>
          </w:tcPr>
          <w:p w14:paraId="6E5E0A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1" w:type="dxa"/>
            <w:vMerge w:val="restart"/>
            <w:noWrap w:val="0"/>
            <w:vAlign w:val="center"/>
          </w:tcPr>
          <w:p w14:paraId="4BF643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河湖滨岸带、永年洼国家湿地公园</w:t>
            </w:r>
          </w:p>
        </w:tc>
        <w:tc>
          <w:tcPr>
            <w:tcW w:w="992" w:type="dxa"/>
            <w:noWrap w:val="0"/>
            <w:vAlign w:val="center"/>
          </w:tcPr>
          <w:p w14:paraId="22A9CA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5310AF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1.满足《湿地保护管理规定》《河北省湿地保护条例》《中华人民共和国河道管理条例》中相关要求。2.按照总体准入的生态空间总体管控要求中河湖滨岸带管控要求执行。</w:t>
            </w:r>
          </w:p>
        </w:tc>
      </w:tr>
      <w:tr w14:paraId="56775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B6EFB8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932279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6DA6690">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7D74588C">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41CB5E8">
            <w:pPr>
              <w:widowControl/>
              <w:spacing w:line="0" w:lineRule="atLeast"/>
              <w:jc w:val="center"/>
              <w:rPr>
                <w:rFonts w:ascii="仿宋" w:hAnsi="仿宋" w:eastAsia="仿宋" w:cs="仿宋"/>
                <w:bCs/>
                <w:spacing w:val="-10"/>
                <w:kern w:val="0"/>
                <w:sz w:val="24"/>
              </w:rPr>
            </w:pPr>
          </w:p>
        </w:tc>
        <w:tc>
          <w:tcPr>
            <w:tcW w:w="992" w:type="dxa"/>
            <w:noWrap w:val="0"/>
            <w:vAlign w:val="center"/>
          </w:tcPr>
          <w:p w14:paraId="40197C1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21806B1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3B19D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B7B7DE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001D96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4E73E92">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6650A3CA">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5C12533E">
            <w:pPr>
              <w:widowControl/>
              <w:spacing w:line="0" w:lineRule="atLeast"/>
              <w:jc w:val="center"/>
              <w:rPr>
                <w:rFonts w:ascii="仿宋" w:hAnsi="仿宋" w:eastAsia="仿宋" w:cs="仿宋"/>
                <w:bCs/>
                <w:spacing w:val="-10"/>
                <w:kern w:val="0"/>
                <w:sz w:val="24"/>
              </w:rPr>
            </w:pPr>
          </w:p>
        </w:tc>
        <w:tc>
          <w:tcPr>
            <w:tcW w:w="992" w:type="dxa"/>
            <w:noWrap w:val="0"/>
            <w:vAlign w:val="center"/>
          </w:tcPr>
          <w:p w14:paraId="12C84B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6ABB6E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39AA5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B872C1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84510A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AC4CBA">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B582BA7">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32701E7">
            <w:pPr>
              <w:widowControl/>
              <w:spacing w:line="0" w:lineRule="atLeast"/>
              <w:jc w:val="center"/>
              <w:rPr>
                <w:rFonts w:ascii="仿宋" w:hAnsi="仿宋" w:eastAsia="仿宋" w:cs="仿宋"/>
                <w:bCs/>
                <w:spacing w:val="-10"/>
                <w:kern w:val="0"/>
                <w:sz w:val="24"/>
              </w:rPr>
            </w:pPr>
          </w:p>
        </w:tc>
        <w:tc>
          <w:tcPr>
            <w:tcW w:w="992" w:type="dxa"/>
            <w:noWrap w:val="0"/>
            <w:vAlign w:val="center"/>
          </w:tcPr>
          <w:p w14:paraId="5F8966C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C0ABF98">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FB57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BD8378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ZH13040810056</w:t>
            </w:r>
          </w:p>
        </w:tc>
        <w:tc>
          <w:tcPr>
            <w:tcW w:w="567" w:type="dxa"/>
            <w:vMerge w:val="restart"/>
            <w:noWrap w:val="0"/>
            <w:vAlign w:val="center"/>
          </w:tcPr>
          <w:p w14:paraId="06296CF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0134E81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广府镇、张西堡镇</w:t>
            </w:r>
          </w:p>
        </w:tc>
        <w:tc>
          <w:tcPr>
            <w:tcW w:w="732" w:type="dxa"/>
            <w:vMerge w:val="restart"/>
            <w:noWrap w:val="0"/>
            <w:vAlign w:val="center"/>
          </w:tcPr>
          <w:p w14:paraId="62ACE9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1" w:type="dxa"/>
            <w:vMerge w:val="restart"/>
            <w:noWrap w:val="0"/>
            <w:vAlign w:val="center"/>
          </w:tcPr>
          <w:p w14:paraId="4D7DF6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河湖滨岸带、广府古城景区</w:t>
            </w:r>
          </w:p>
        </w:tc>
        <w:tc>
          <w:tcPr>
            <w:tcW w:w="992" w:type="dxa"/>
            <w:noWrap w:val="0"/>
            <w:vAlign w:val="center"/>
          </w:tcPr>
          <w:p w14:paraId="3E09FE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F7D0CD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1.按照《中华人民共和国风景名胜区条例》及相关管理要求执行。2.按照总体准入的生态空间总体管控要求中河湖滨岸带管控要求执行。</w:t>
            </w:r>
          </w:p>
        </w:tc>
      </w:tr>
      <w:tr w14:paraId="6FB5A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1B381B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CF7FE7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38AD56F">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2D00AD19">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0C0FDE28">
            <w:pPr>
              <w:widowControl/>
              <w:spacing w:line="0" w:lineRule="atLeast"/>
              <w:jc w:val="center"/>
              <w:rPr>
                <w:rFonts w:ascii="仿宋" w:hAnsi="仿宋" w:eastAsia="仿宋" w:cs="仿宋"/>
                <w:bCs/>
                <w:spacing w:val="-10"/>
                <w:kern w:val="0"/>
                <w:sz w:val="24"/>
              </w:rPr>
            </w:pPr>
          </w:p>
        </w:tc>
        <w:tc>
          <w:tcPr>
            <w:tcW w:w="992" w:type="dxa"/>
            <w:noWrap w:val="0"/>
            <w:vAlign w:val="center"/>
          </w:tcPr>
          <w:p w14:paraId="28DF61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54F1883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2ADDD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6AE94A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0F11D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42F61CD">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63DC26F6">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3EBF295">
            <w:pPr>
              <w:widowControl/>
              <w:spacing w:line="0" w:lineRule="atLeast"/>
              <w:jc w:val="center"/>
              <w:rPr>
                <w:rFonts w:ascii="仿宋" w:hAnsi="仿宋" w:eastAsia="仿宋" w:cs="仿宋"/>
                <w:bCs/>
                <w:spacing w:val="-10"/>
                <w:kern w:val="0"/>
                <w:sz w:val="24"/>
              </w:rPr>
            </w:pPr>
          </w:p>
        </w:tc>
        <w:tc>
          <w:tcPr>
            <w:tcW w:w="992" w:type="dxa"/>
            <w:noWrap w:val="0"/>
            <w:vAlign w:val="center"/>
          </w:tcPr>
          <w:p w14:paraId="370416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336F69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419DC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46736C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F8A223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570D222">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18877A6">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87F6D45">
            <w:pPr>
              <w:widowControl/>
              <w:spacing w:line="0" w:lineRule="atLeast"/>
              <w:jc w:val="center"/>
              <w:rPr>
                <w:rFonts w:ascii="仿宋" w:hAnsi="仿宋" w:eastAsia="仿宋" w:cs="仿宋"/>
                <w:bCs/>
                <w:spacing w:val="-10"/>
                <w:kern w:val="0"/>
                <w:sz w:val="24"/>
              </w:rPr>
            </w:pPr>
          </w:p>
        </w:tc>
        <w:tc>
          <w:tcPr>
            <w:tcW w:w="992" w:type="dxa"/>
            <w:noWrap w:val="0"/>
            <w:vAlign w:val="center"/>
          </w:tcPr>
          <w:p w14:paraId="7610B27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220459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DDB8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BC896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ZH13040810057</w:t>
            </w:r>
          </w:p>
        </w:tc>
        <w:tc>
          <w:tcPr>
            <w:tcW w:w="567" w:type="dxa"/>
            <w:vMerge w:val="restart"/>
            <w:noWrap w:val="0"/>
            <w:vAlign w:val="center"/>
          </w:tcPr>
          <w:p w14:paraId="431FC92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06F71F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广府镇、界河店乡、临洺关镇、西阳城乡、永合会镇、张西堡镇</w:t>
            </w:r>
          </w:p>
        </w:tc>
        <w:tc>
          <w:tcPr>
            <w:tcW w:w="732" w:type="dxa"/>
            <w:vMerge w:val="restart"/>
            <w:noWrap w:val="0"/>
            <w:vAlign w:val="center"/>
          </w:tcPr>
          <w:p w14:paraId="139C4A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1" w:type="dxa"/>
            <w:vMerge w:val="restart"/>
            <w:noWrap w:val="0"/>
            <w:vAlign w:val="center"/>
          </w:tcPr>
          <w:p w14:paraId="2687156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992" w:type="dxa"/>
            <w:noWrap w:val="0"/>
            <w:vAlign w:val="center"/>
          </w:tcPr>
          <w:p w14:paraId="0E332A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AA7F5C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1.满足生态保护红线相关要求。2.满足《中华人民共和国河道管理条例》相关要求。</w:t>
            </w:r>
          </w:p>
        </w:tc>
      </w:tr>
      <w:tr w14:paraId="11DAA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D96BBC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28B32E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9878DA7">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BF80DB6">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4FF4E1B">
            <w:pPr>
              <w:widowControl/>
              <w:spacing w:line="0" w:lineRule="atLeast"/>
              <w:jc w:val="center"/>
              <w:rPr>
                <w:rFonts w:ascii="仿宋" w:hAnsi="仿宋" w:eastAsia="仿宋" w:cs="仿宋"/>
                <w:bCs/>
                <w:spacing w:val="-10"/>
                <w:kern w:val="0"/>
                <w:sz w:val="24"/>
              </w:rPr>
            </w:pPr>
          </w:p>
        </w:tc>
        <w:tc>
          <w:tcPr>
            <w:tcW w:w="992" w:type="dxa"/>
            <w:noWrap w:val="0"/>
            <w:vAlign w:val="center"/>
          </w:tcPr>
          <w:p w14:paraId="70A1857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3321BC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7FA7B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57D96F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3B5FA6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6E9FA73">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1275955">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921D9A4">
            <w:pPr>
              <w:widowControl/>
              <w:spacing w:line="0" w:lineRule="atLeast"/>
              <w:jc w:val="center"/>
              <w:rPr>
                <w:rFonts w:ascii="仿宋" w:hAnsi="仿宋" w:eastAsia="仿宋" w:cs="仿宋"/>
                <w:bCs/>
                <w:spacing w:val="-10"/>
                <w:kern w:val="0"/>
                <w:sz w:val="24"/>
              </w:rPr>
            </w:pPr>
          </w:p>
        </w:tc>
        <w:tc>
          <w:tcPr>
            <w:tcW w:w="992" w:type="dxa"/>
            <w:noWrap w:val="0"/>
            <w:vAlign w:val="center"/>
          </w:tcPr>
          <w:p w14:paraId="5E13AE5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0E267A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38BE6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29FD9C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DAE8CB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9FB20B1">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6F58EA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1050A385">
            <w:pPr>
              <w:widowControl/>
              <w:spacing w:line="0" w:lineRule="atLeast"/>
              <w:jc w:val="center"/>
              <w:rPr>
                <w:rFonts w:ascii="仿宋" w:hAnsi="仿宋" w:eastAsia="仿宋" w:cs="仿宋"/>
                <w:bCs/>
                <w:spacing w:val="-10"/>
                <w:kern w:val="0"/>
                <w:sz w:val="24"/>
              </w:rPr>
            </w:pPr>
          </w:p>
        </w:tc>
        <w:tc>
          <w:tcPr>
            <w:tcW w:w="992" w:type="dxa"/>
            <w:noWrap w:val="0"/>
            <w:vAlign w:val="center"/>
          </w:tcPr>
          <w:p w14:paraId="3608DF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DD7B1C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CA9D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2895C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ZH13040810058</w:t>
            </w:r>
          </w:p>
        </w:tc>
        <w:tc>
          <w:tcPr>
            <w:tcW w:w="567" w:type="dxa"/>
            <w:vMerge w:val="restart"/>
            <w:noWrap w:val="0"/>
            <w:vAlign w:val="center"/>
          </w:tcPr>
          <w:p w14:paraId="2F6D468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6525B92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临洺关镇、西阳城乡、永合会镇</w:t>
            </w:r>
          </w:p>
        </w:tc>
        <w:tc>
          <w:tcPr>
            <w:tcW w:w="732" w:type="dxa"/>
            <w:vMerge w:val="restart"/>
            <w:noWrap w:val="0"/>
            <w:vAlign w:val="center"/>
          </w:tcPr>
          <w:p w14:paraId="373A435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1" w:type="dxa"/>
            <w:vMerge w:val="restart"/>
            <w:noWrap w:val="0"/>
            <w:vAlign w:val="center"/>
          </w:tcPr>
          <w:p w14:paraId="4F5361A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水土保持、土地沙化</w:t>
            </w:r>
          </w:p>
        </w:tc>
        <w:tc>
          <w:tcPr>
            <w:tcW w:w="992" w:type="dxa"/>
            <w:noWrap w:val="0"/>
            <w:vAlign w:val="center"/>
          </w:tcPr>
          <w:p w14:paraId="4DE2CD5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B665D0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按照总体准入的生态空间总体管控要求中水土保持、土地沙化相应管控要求执行。</w:t>
            </w:r>
          </w:p>
        </w:tc>
      </w:tr>
      <w:tr w14:paraId="4609D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89D3C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FEA89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8D1C661">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6CAEB34A">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1F446798">
            <w:pPr>
              <w:widowControl/>
              <w:spacing w:line="0" w:lineRule="atLeast"/>
              <w:jc w:val="center"/>
              <w:rPr>
                <w:rFonts w:ascii="仿宋" w:hAnsi="仿宋" w:eastAsia="仿宋" w:cs="仿宋"/>
                <w:bCs/>
                <w:spacing w:val="-10"/>
                <w:kern w:val="0"/>
                <w:sz w:val="24"/>
              </w:rPr>
            </w:pPr>
          </w:p>
        </w:tc>
        <w:tc>
          <w:tcPr>
            <w:tcW w:w="992" w:type="dxa"/>
            <w:noWrap w:val="0"/>
            <w:vAlign w:val="center"/>
          </w:tcPr>
          <w:p w14:paraId="0916B5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7BB18C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spacing w:val="-10"/>
                <w:kern w:val="0"/>
                <w:sz w:val="24"/>
              </w:rPr>
              <w:t>—</w:t>
            </w:r>
          </w:p>
        </w:tc>
      </w:tr>
      <w:tr w14:paraId="449D3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D2879E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41A62B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2365802">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2AAE828">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5DBF19DE">
            <w:pPr>
              <w:widowControl/>
              <w:spacing w:line="0" w:lineRule="atLeast"/>
              <w:jc w:val="center"/>
              <w:rPr>
                <w:rFonts w:ascii="仿宋" w:hAnsi="仿宋" w:eastAsia="仿宋" w:cs="仿宋"/>
                <w:bCs/>
                <w:spacing w:val="-10"/>
                <w:kern w:val="0"/>
                <w:sz w:val="24"/>
              </w:rPr>
            </w:pPr>
          </w:p>
        </w:tc>
        <w:tc>
          <w:tcPr>
            <w:tcW w:w="992" w:type="dxa"/>
            <w:noWrap w:val="0"/>
            <w:vAlign w:val="center"/>
          </w:tcPr>
          <w:p w14:paraId="65D769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4E87DD0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0AD9A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007F1F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A3D7ED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AE73E99">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FEA038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DF9A6C0">
            <w:pPr>
              <w:widowControl/>
              <w:spacing w:line="0" w:lineRule="atLeast"/>
              <w:jc w:val="center"/>
              <w:rPr>
                <w:rFonts w:ascii="仿宋" w:hAnsi="仿宋" w:eastAsia="仿宋" w:cs="仿宋"/>
                <w:bCs/>
                <w:spacing w:val="-10"/>
                <w:kern w:val="0"/>
                <w:sz w:val="24"/>
              </w:rPr>
            </w:pPr>
          </w:p>
        </w:tc>
        <w:tc>
          <w:tcPr>
            <w:tcW w:w="992" w:type="dxa"/>
            <w:noWrap w:val="0"/>
            <w:vAlign w:val="center"/>
          </w:tcPr>
          <w:p w14:paraId="325648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CF392E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DB41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E33543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ZH13040810059</w:t>
            </w:r>
          </w:p>
        </w:tc>
        <w:tc>
          <w:tcPr>
            <w:tcW w:w="567" w:type="dxa"/>
            <w:vMerge w:val="restart"/>
            <w:noWrap w:val="0"/>
            <w:vAlign w:val="center"/>
          </w:tcPr>
          <w:p w14:paraId="2BA8D35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1E8F83A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界河店乡、临洺关镇、西阳城乡、永合会镇</w:t>
            </w:r>
          </w:p>
        </w:tc>
        <w:tc>
          <w:tcPr>
            <w:tcW w:w="732" w:type="dxa"/>
            <w:vMerge w:val="restart"/>
            <w:noWrap w:val="0"/>
            <w:vAlign w:val="center"/>
          </w:tcPr>
          <w:p w14:paraId="284B6D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1" w:type="dxa"/>
            <w:vMerge w:val="restart"/>
            <w:noWrap w:val="0"/>
            <w:vAlign w:val="center"/>
          </w:tcPr>
          <w:p w14:paraId="1CDAB03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重要引调水通道、南水北调中线</w:t>
            </w:r>
          </w:p>
        </w:tc>
        <w:tc>
          <w:tcPr>
            <w:tcW w:w="992" w:type="dxa"/>
            <w:noWrap w:val="0"/>
            <w:vAlign w:val="center"/>
          </w:tcPr>
          <w:p w14:paraId="36EA36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AE97E6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 xml:space="preserve"> —</w:t>
            </w:r>
          </w:p>
        </w:tc>
      </w:tr>
      <w:tr w14:paraId="38770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B62AE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3D9A8E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346ECDA">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C57DE80">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26D1A817">
            <w:pPr>
              <w:widowControl/>
              <w:spacing w:line="0" w:lineRule="atLeast"/>
              <w:jc w:val="center"/>
              <w:rPr>
                <w:rFonts w:ascii="仿宋" w:hAnsi="仿宋" w:eastAsia="仿宋" w:cs="仿宋"/>
                <w:bCs/>
                <w:spacing w:val="-10"/>
                <w:kern w:val="0"/>
                <w:sz w:val="24"/>
              </w:rPr>
            </w:pPr>
          </w:p>
        </w:tc>
        <w:tc>
          <w:tcPr>
            <w:tcW w:w="992" w:type="dxa"/>
            <w:noWrap w:val="0"/>
            <w:vAlign w:val="center"/>
          </w:tcPr>
          <w:p w14:paraId="2C21648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2AE124F">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按照《南水北调中线一期工程总干渠河北段饮用水水源保护区划定和完善方案》中相应水源保护区的管控要求。</w:t>
            </w:r>
          </w:p>
        </w:tc>
      </w:tr>
      <w:tr w14:paraId="462ED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2B1713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7C422B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D4E6F04">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7B56E21C">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9D96234">
            <w:pPr>
              <w:widowControl/>
              <w:spacing w:line="0" w:lineRule="atLeast"/>
              <w:jc w:val="center"/>
              <w:rPr>
                <w:rFonts w:ascii="仿宋" w:hAnsi="仿宋" w:eastAsia="仿宋" w:cs="仿宋"/>
                <w:bCs/>
                <w:spacing w:val="-10"/>
                <w:kern w:val="0"/>
                <w:sz w:val="24"/>
              </w:rPr>
            </w:pPr>
          </w:p>
        </w:tc>
        <w:tc>
          <w:tcPr>
            <w:tcW w:w="992" w:type="dxa"/>
            <w:noWrap w:val="0"/>
            <w:vAlign w:val="center"/>
          </w:tcPr>
          <w:p w14:paraId="194AA6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ED36C8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2DD4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CE445C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E9444E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880ED8D">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6F62B19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1B1B714A">
            <w:pPr>
              <w:widowControl/>
              <w:spacing w:line="0" w:lineRule="atLeast"/>
              <w:jc w:val="center"/>
              <w:rPr>
                <w:rFonts w:ascii="仿宋" w:hAnsi="仿宋" w:eastAsia="仿宋" w:cs="仿宋"/>
                <w:bCs/>
                <w:spacing w:val="-10"/>
                <w:kern w:val="0"/>
                <w:sz w:val="24"/>
              </w:rPr>
            </w:pPr>
          </w:p>
        </w:tc>
        <w:tc>
          <w:tcPr>
            <w:tcW w:w="992" w:type="dxa"/>
            <w:noWrap w:val="0"/>
            <w:vAlign w:val="center"/>
          </w:tcPr>
          <w:p w14:paraId="4BAEC7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B2E4BD5">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600B9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927CED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ZH13040820060</w:t>
            </w:r>
          </w:p>
        </w:tc>
        <w:tc>
          <w:tcPr>
            <w:tcW w:w="567" w:type="dxa"/>
            <w:vMerge w:val="restart"/>
            <w:noWrap w:val="0"/>
            <w:vAlign w:val="center"/>
          </w:tcPr>
          <w:p w14:paraId="560FB0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753E45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临洺关镇、刘营镇</w:t>
            </w:r>
          </w:p>
        </w:tc>
        <w:tc>
          <w:tcPr>
            <w:tcW w:w="732" w:type="dxa"/>
            <w:vMerge w:val="restart"/>
            <w:noWrap w:val="0"/>
            <w:vAlign w:val="center"/>
          </w:tcPr>
          <w:p w14:paraId="7C79534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5EE2E7F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大气环境高排放重点管控区、水环境工业污染重点管控区、河北永年工业园区标准件园区、地下水开采重点管控区</w:t>
            </w:r>
          </w:p>
        </w:tc>
        <w:tc>
          <w:tcPr>
            <w:tcW w:w="992" w:type="dxa"/>
            <w:noWrap w:val="0"/>
            <w:vAlign w:val="center"/>
          </w:tcPr>
          <w:p w14:paraId="617286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E6AA0A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确保“散乱污”企业动态清零。按照中共邯郸市委邯郸市人民政府印发《邯郸市空气质量综合指数“退后十”攻坚行动方案》的通知（邯文〔2021〕12号）相应内容进行管理。2.禁止建设生产预应力钢丝的单罐拉丝机生产设备、中频发电机感应加热源、和C616、C618、C620、CA630、C630、C640、C650普通车床。3.提高VOCs排放重点行业环保准入门槛，新建涉VOCs排放的工业企业要入园区。4.禁止建设生产和使用高VOCs含量的溶剂型涂料、油墨、胶粘剂等项目。5.严格地下水管理，地下水禁采区和地下水限采区内按照《河北省人民政府关于公布地下水超采区和禁止开采区、限制开采区范围的通知》（冀政字〔2022〕59号）要求执行。</w:t>
            </w:r>
          </w:p>
        </w:tc>
      </w:tr>
      <w:tr w14:paraId="71E68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E8E38D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8C7D4E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2433B0E">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13051D8">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D79BA9D">
            <w:pPr>
              <w:widowControl/>
              <w:spacing w:line="0" w:lineRule="atLeast"/>
              <w:jc w:val="center"/>
              <w:rPr>
                <w:rFonts w:ascii="仿宋" w:hAnsi="仿宋" w:eastAsia="仿宋" w:cs="仿宋"/>
                <w:bCs/>
                <w:spacing w:val="-10"/>
                <w:kern w:val="0"/>
                <w:sz w:val="24"/>
              </w:rPr>
            </w:pPr>
          </w:p>
        </w:tc>
        <w:tc>
          <w:tcPr>
            <w:tcW w:w="992" w:type="dxa"/>
            <w:noWrap w:val="0"/>
            <w:vAlign w:val="center"/>
          </w:tcPr>
          <w:p w14:paraId="6FBCC8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57E6CBE">
            <w:pPr>
              <w:pStyle w:val="12"/>
              <w:widowControl/>
              <w:spacing w:line="0" w:lineRule="atLeast"/>
              <w:ind w:firstLine="440" w:firstLineChars="200"/>
              <w:jc w:val="both"/>
              <w:rPr>
                <w:rFonts w:ascii="仿宋" w:hAnsi="仿宋" w:eastAsia="仿宋" w:cs="仿宋"/>
                <w:bCs/>
                <w:spacing w:val="-10"/>
                <w:kern w:val="0"/>
                <w:sz w:val="24"/>
                <w:szCs w:val="24"/>
              </w:rPr>
            </w:pPr>
            <w:r>
              <w:rPr>
                <w:rFonts w:hint="eastAsia" w:ascii="仿宋" w:hAnsi="仿宋" w:eastAsia="仿宋" w:cs="仿宋"/>
                <w:bCs/>
                <w:spacing w:val="-10"/>
                <w:kern w:val="0"/>
                <w:sz w:val="24"/>
                <w:szCs w:val="24"/>
              </w:rPr>
              <w:t>1.全面加强原辅材料源头替代，从源头减少VOCs产生。涉VOCs重点企业全面执行《挥发性有机物无组织排放控制标准》(GB37822-2019)。选择适宜的废气治理工艺，对VOCs污染源进行有效处理。2.加快完善区域污水管网建设，提高污水收集率，严禁生活污水不经处理直接外排。3.现有及新（改、扩）建向环境水体直接排放污水的排污单位满足《子牙河流域水污染物排放标准》（DB13/2796-2018)相应排放限值要求。</w:t>
            </w:r>
          </w:p>
        </w:tc>
      </w:tr>
      <w:tr w14:paraId="194B86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86E1AC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F2029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3D8F69C">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71ECE6A4">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0B797B14">
            <w:pPr>
              <w:widowControl/>
              <w:spacing w:line="0" w:lineRule="atLeast"/>
              <w:jc w:val="center"/>
              <w:rPr>
                <w:rFonts w:ascii="仿宋" w:hAnsi="仿宋" w:eastAsia="仿宋" w:cs="仿宋"/>
                <w:bCs/>
                <w:spacing w:val="-10"/>
                <w:kern w:val="0"/>
                <w:sz w:val="24"/>
              </w:rPr>
            </w:pPr>
          </w:p>
        </w:tc>
        <w:tc>
          <w:tcPr>
            <w:tcW w:w="992" w:type="dxa"/>
            <w:noWrap w:val="0"/>
            <w:vAlign w:val="center"/>
          </w:tcPr>
          <w:p w14:paraId="6C1F1D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3DFE33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2B0843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BF2CAB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B27FDC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8F9767E">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2A00BAA2">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19C7EED8">
            <w:pPr>
              <w:widowControl/>
              <w:spacing w:line="0" w:lineRule="atLeast"/>
              <w:jc w:val="center"/>
              <w:rPr>
                <w:rFonts w:ascii="仿宋" w:hAnsi="仿宋" w:eastAsia="仿宋" w:cs="仿宋"/>
                <w:bCs/>
                <w:spacing w:val="-10"/>
                <w:kern w:val="0"/>
                <w:sz w:val="24"/>
              </w:rPr>
            </w:pPr>
          </w:p>
        </w:tc>
        <w:tc>
          <w:tcPr>
            <w:tcW w:w="992" w:type="dxa"/>
            <w:noWrap w:val="0"/>
            <w:vAlign w:val="center"/>
          </w:tcPr>
          <w:p w14:paraId="2BEAAE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3402048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6E7FC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002886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ZH13040820061</w:t>
            </w:r>
          </w:p>
        </w:tc>
        <w:tc>
          <w:tcPr>
            <w:tcW w:w="567" w:type="dxa"/>
            <w:vMerge w:val="restart"/>
            <w:noWrap w:val="0"/>
            <w:vAlign w:val="center"/>
          </w:tcPr>
          <w:p w14:paraId="10B898B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18A4610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刘汉乡</w:t>
            </w:r>
          </w:p>
        </w:tc>
        <w:tc>
          <w:tcPr>
            <w:tcW w:w="732" w:type="dxa"/>
            <w:vMerge w:val="restart"/>
            <w:noWrap w:val="0"/>
            <w:vAlign w:val="center"/>
          </w:tcPr>
          <w:p w14:paraId="00B920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73F77C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大气高排放重点管控区、水环境工业污染重点管控区、永年区高新建材区、地下水开采重点管控区</w:t>
            </w:r>
          </w:p>
        </w:tc>
        <w:tc>
          <w:tcPr>
            <w:tcW w:w="992" w:type="dxa"/>
            <w:noWrap w:val="0"/>
            <w:vAlign w:val="center"/>
          </w:tcPr>
          <w:p w14:paraId="53C76F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B3517C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产业结构调整指导目录（2019年本）》中淘汰类项目、其他属于国家产业政策禁止或限制的项目入区。2.装备制造产业区禁止建设含电镀的工艺企业；禁止布置以大气污染源为主的工业企业。4.精细化工产业区禁止化学肥料新建和扩建（等量置换除外）；禁止新建和扩建（等量置换除外）涂料、油墨、颜料及类似产品制造。3.木制品加工区禁止新建单条化学木浆30万吨/年以下、化学机械木浆10万吨/年以下、化学竹浆10万吨/年以下的生产线；新闻纸、铜版纸生产线。4.严格地下水管理，地下水禁采区和地下水限采区内按照《河北省人民政府关于公布地下水超采区和禁止开采区、限制开采区范围的通知》（冀政字〔2022〕59号）要求执行。</w:t>
            </w:r>
          </w:p>
        </w:tc>
      </w:tr>
      <w:tr w14:paraId="1B525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9DCEBF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FC13BE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5C871FE">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2A65021D">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934FCAA">
            <w:pPr>
              <w:widowControl/>
              <w:spacing w:line="0" w:lineRule="atLeast"/>
              <w:jc w:val="center"/>
              <w:rPr>
                <w:rFonts w:ascii="仿宋" w:hAnsi="仿宋" w:eastAsia="仿宋" w:cs="仿宋"/>
                <w:bCs/>
                <w:spacing w:val="-10"/>
                <w:kern w:val="0"/>
                <w:sz w:val="24"/>
              </w:rPr>
            </w:pPr>
          </w:p>
        </w:tc>
        <w:tc>
          <w:tcPr>
            <w:tcW w:w="992" w:type="dxa"/>
            <w:noWrap w:val="0"/>
            <w:vAlign w:val="center"/>
          </w:tcPr>
          <w:p w14:paraId="5D3245F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3D30CC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工业企业污染物排放满足《工业企业挥发性有机物排放控制标准》（DB13/2322-2016）、《挥发性有机物无组织排放控制标准》（GB37822-2019）、《锅炉大气污染物排放标准》（DB13/5161-2020）、《工业炉窑大气污染物排放标准》（DB13/1640-2012）中的相应排放限值，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的通知》(冀环大气〔2019〕607号)及“退后十”方案中邯郸限值要求。2.现有及新（改、扩）建向环境水体直接排放污水的排污单位满足《子牙河流域水污染物排放标准》（DB13/2796-2018)相应排放限值要求。</w:t>
            </w:r>
          </w:p>
        </w:tc>
      </w:tr>
      <w:tr w14:paraId="32326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3987E4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7861CB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281A207">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AD0236C">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0DDC3534">
            <w:pPr>
              <w:widowControl/>
              <w:spacing w:line="0" w:lineRule="atLeast"/>
              <w:jc w:val="center"/>
              <w:rPr>
                <w:rFonts w:ascii="仿宋" w:hAnsi="仿宋" w:eastAsia="仿宋" w:cs="仿宋"/>
                <w:bCs/>
                <w:spacing w:val="-10"/>
                <w:kern w:val="0"/>
                <w:sz w:val="24"/>
              </w:rPr>
            </w:pPr>
          </w:p>
        </w:tc>
        <w:tc>
          <w:tcPr>
            <w:tcW w:w="992" w:type="dxa"/>
            <w:noWrap w:val="0"/>
            <w:vAlign w:val="center"/>
          </w:tcPr>
          <w:p w14:paraId="4D4489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CDD080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园区应加强管理，严格落实规划环评及企业环评提出的风险防范措施，结合园区突发环境事件应急预案，进一步指导园区风险污染防控。</w:t>
            </w:r>
          </w:p>
        </w:tc>
      </w:tr>
      <w:tr w14:paraId="6CA71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C62D8D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A87E05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45CFE1C">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C925192">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09BA95B3">
            <w:pPr>
              <w:widowControl/>
              <w:spacing w:line="0" w:lineRule="atLeast"/>
              <w:jc w:val="center"/>
              <w:rPr>
                <w:rFonts w:ascii="仿宋" w:hAnsi="仿宋" w:eastAsia="仿宋" w:cs="仿宋"/>
                <w:bCs/>
                <w:spacing w:val="-10"/>
                <w:kern w:val="0"/>
                <w:sz w:val="24"/>
              </w:rPr>
            </w:pPr>
          </w:p>
        </w:tc>
        <w:tc>
          <w:tcPr>
            <w:tcW w:w="992" w:type="dxa"/>
            <w:noWrap w:val="0"/>
            <w:vAlign w:val="center"/>
          </w:tcPr>
          <w:p w14:paraId="708348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5F51158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园区远期可采用南水北调水，不再开采地下水。</w:t>
            </w:r>
          </w:p>
        </w:tc>
      </w:tr>
      <w:tr w14:paraId="52C86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C5D44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ZH13040820062</w:t>
            </w:r>
          </w:p>
        </w:tc>
        <w:tc>
          <w:tcPr>
            <w:tcW w:w="567" w:type="dxa"/>
            <w:vMerge w:val="restart"/>
            <w:noWrap w:val="0"/>
            <w:vAlign w:val="center"/>
          </w:tcPr>
          <w:p w14:paraId="7183439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0AC75E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界河店乡、临洺关镇、永合会镇</w:t>
            </w:r>
          </w:p>
        </w:tc>
        <w:tc>
          <w:tcPr>
            <w:tcW w:w="732" w:type="dxa"/>
            <w:vMerge w:val="restart"/>
            <w:noWrap w:val="0"/>
            <w:vAlign w:val="center"/>
          </w:tcPr>
          <w:p w14:paraId="2AF5F2C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2B6CE3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大气环境高排放重点管控区、水环境工业污染重点管控区、河北永年工业园区西南区</w:t>
            </w:r>
          </w:p>
        </w:tc>
        <w:tc>
          <w:tcPr>
            <w:tcW w:w="992" w:type="dxa"/>
            <w:noWrap w:val="0"/>
            <w:vAlign w:val="center"/>
          </w:tcPr>
          <w:p w14:paraId="07BC88C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AA3396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止入园企业包括：国家明令淘汰或限制的工艺落后、污染严重的产业；资源综合利用率低，产生废物量大且按近期技术水平不能综合利用的行业；高耗水且排放污水、废液按现有技术经济条件无法治理或妥善处置的产业；以及部分行业产能过剩和重复建设的行业。</w:t>
            </w:r>
          </w:p>
        </w:tc>
      </w:tr>
      <w:tr w14:paraId="50B82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28FDB1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80E654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CB7EC0D">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7FB87EA5">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498730E">
            <w:pPr>
              <w:widowControl/>
              <w:spacing w:line="0" w:lineRule="atLeast"/>
              <w:jc w:val="center"/>
              <w:rPr>
                <w:rFonts w:ascii="仿宋" w:hAnsi="仿宋" w:eastAsia="仿宋" w:cs="仿宋"/>
                <w:bCs/>
                <w:spacing w:val="-10"/>
                <w:kern w:val="0"/>
                <w:sz w:val="24"/>
              </w:rPr>
            </w:pPr>
          </w:p>
        </w:tc>
        <w:tc>
          <w:tcPr>
            <w:tcW w:w="992" w:type="dxa"/>
            <w:noWrap w:val="0"/>
            <w:vAlign w:val="center"/>
          </w:tcPr>
          <w:p w14:paraId="310EB0D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D8B46D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工业企业污染物排放满足《工业企业挥发性有机物排放控制标准》（DB13/2322-2016）、《挥发性有机物无组织排放控制标准》（GB37822-2019）、《锅炉大气污染物排放标准》（DB13/5161-2020）、《工业炉窑大气污染物排放标准》（DB13/1640-2012）中的相应排放限值，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的通知》(冀环大气〔2019〕607号)及“退后十”方案中邯郸限值要求。2.现有及新（改、扩）建向环境水体直接排放污水的排污单位满足《子牙河流域水污染物排放标准》（DB13/2796-2018)相应排放限值要求。</w:t>
            </w:r>
          </w:p>
        </w:tc>
      </w:tr>
      <w:tr w14:paraId="5EE53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FD1E56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192BEA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98AEE4D">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70B80238">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C293C45">
            <w:pPr>
              <w:widowControl/>
              <w:spacing w:line="0" w:lineRule="atLeast"/>
              <w:jc w:val="center"/>
              <w:rPr>
                <w:rFonts w:ascii="仿宋" w:hAnsi="仿宋" w:eastAsia="仿宋" w:cs="仿宋"/>
                <w:bCs/>
                <w:spacing w:val="-10"/>
                <w:kern w:val="0"/>
                <w:sz w:val="24"/>
              </w:rPr>
            </w:pPr>
          </w:p>
        </w:tc>
        <w:tc>
          <w:tcPr>
            <w:tcW w:w="992" w:type="dxa"/>
            <w:noWrap w:val="0"/>
            <w:vAlign w:val="center"/>
          </w:tcPr>
          <w:p w14:paraId="5EA2BC0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7C707E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园区应加强管理，严格落实规划环评及企业环评提出的风险防范措施，结合园区突发环境事件应急预案，进一步指导园区风险污染防控。</w:t>
            </w:r>
          </w:p>
        </w:tc>
      </w:tr>
      <w:tr w14:paraId="156D3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5AB78A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4EE7B8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EF29D27">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C0500CB">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5139F03F">
            <w:pPr>
              <w:widowControl/>
              <w:spacing w:line="0" w:lineRule="atLeast"/>
              <w:jc w:val="center"/>
              <w:rPr>
                <w:rFonts w:ascii="仿宋" w:hAnsi="仿宋" w:eastAsia="仿宋" w:cs="仿宋"/>
                <w:bCs/>
                <w:spacing w:val="-10"/>
                <w:kern w:val="0"/>
                <w:sz w:val="24"/>
              </w:rPr>
            </w:pPr>
          </w:p>
        </w:tc>
        <w:tc>
          <w:tcPr>
            <w:tcW w:w="992" w:type="dxa"/>
            <w:noWrap w:val="0"/>
            <w:vAlign w:val="center"/>
          </w:tcPr>
          <w:p w14:paraId="55C8DCC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912594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1.园区要严格以可提供水资源为上线，严格限制开采地下水。2.园区要对新增建设用地占用耕地规模实行总量控制，落实耕地占补平衡，确保耕地数量不下降、质量不降低。</w:t>
            </w:r>
          </w:p>
        </w:tc>
      </w:tr>
      <w:tr w14:paraId="0EF60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AD3D3C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ZH13040820063</w:t>
            </w:r>
          </w:p>
        </w:tc>
        <w:tc>
          <w:tcPr>
            <w:tcW w:w="567" w:type="dxa"/>
            <w:vMerge w:val="restart"/>
            <w:noWrap w:val="0"/>
            <w:vAlign w:val="center"/>
          </w:tcPr>
          <w:p w14:paraId="73734A3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2995B3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界河店乡、临洺关镇、西苏镇</w:t>
            </w:r>
          </w:p>
        </w:tc>
        <w:tc>
          <w:tcPr>
            <w:tcW w:w="732" w:type="dxa"/>
            <w:vMerge w:val="restart"/>
            <w:noWrap w:val="0"/>
            <w:vAlign w:val="center"/>
          </w:tcPr>
          <w:p w14:paraId="6343EC7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2424B7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 、地下水开采重点管控区</w:t>
            </w:r>
          </w:p>
        </w:tc>
        <w:tc>
          <w:tcPr>
            <w:tcW w:w="992" w:type="dxa"/>
            <w:noWrap w:val="0"/>
            <w:vAlign w:val="center"/>
          </w:tcPr>
          <w:p w14:paraId="684E7D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2DD4C5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确保“散乱污”企业动态清零。按照中共邯郸市委邯郸市人民政府印发《邯郸市空气质量综合指数“退后十”攻坚行动方案》的通知（邯文〔2021〕12号）相应内容进行管理。2.禁止建设生产预应力钢丝的单罐拉丝机生产设备、中频发电机感应加热源、和C616、C618、C620、CA630、C630、C640、C650普通车床。3.提高VOCs排放重点行业环保准入门槛，新建涉VOCs排放的工业企业要入园区。4.禁止建设生产和使用高VOCs含量的溶剂型涂料、油墨、胶粘剂等项目。5.严格地下水管理，地下水禁采区和地下水限采区内按照《河北省人民政府关于公布地下水超采区和禁止开采区、限制开采区范围的通知》（冀政字〔2022〕59号）要求执行。</w:t>
            </w:r>
          </w:p>
        </w:tc>
      </w:tr>
      <w:tr w14:paraId="2EBFD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780C90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3B402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4F572B9">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5FE0FB2">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46B3450">
            <w:pPr>
              <w:widowControl/>
              <w:spacing w:line="0" w:lineRule="atLeast"/>
              <w:jc w:val="center"/>
              <w:rPr>
                <w:rFonts w:ascii="仿宋" w:hAnsi="仿宋" w:eastAsia="仿宋" w:cs="仿宋"/>
                <w:bCs/>
                <w:spacing w:val="-10"/>
                <w:kern w:val="0"/>
                <w:sz w:val="24"/>
              </w:rPr>
            </w:pPr>
          </w:p>
        </w:tc>
        <w:tc>
          <w:tcPr>
            <w:tcW w:w="992" w:type="dxa"/>
            <w:noWrap w:val="0"/>
            <w:vAlign w:val="center"/>
          </w:tcPr>
          <w:p w14:paraId="261601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29B362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全面加强原辅材料源头替代，从源头减少VOCs产生。涉VOCs重点企业全面执行《挥发性有机物无组织排放控制标准》(GB37822-2019)。选择适宜的废气治理工艺，对VOCs污染源进行有效处理。2.现有及新（改、扩）建向环境水体直接排放污水的排污单位满足《子牙河流域水污染物排放标准》（DB13/2796-2018)相应排放限值要求。</w:t>
            </w:r>
          </w:p>
        </w:tc>
      </w:tr>
      <w:tr w14:paraId="4DDD6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E3992E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94DAD5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0D4EC9D">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4602F14">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C050085">
            <w:pPr>
              <w:widowControl/>
              <w:spacing w:line="0" w:lineRule="atLeast"/>
              <w:jc w:val="center"/>
              <w:rPr>
                <w:rFonts w:ascii="仿宋" w:hAnsi="仿宋" w:eastAsia="仿宋" w:cs="仿宋"/>
                <w:bCs/>
                <w:spacing w:val="-10"/>
                <w:kern w:val="0"/>
                <w:sz w:val="24"/>
              </w:rPr>
            </w:pPr>
          </w:p>
        </w:tc>
        <w:tc>
          <w:tcPr>
            <w:tcW w:w="992" w:type="dxa"/>
            <w:noWrap w:val="0"/>
            <w:vAlign w:val="center"/>
          </w:tcPr>
          <w:p w14:paraId="4D07FB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4F1A4A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5AF8E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A1A305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06B772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E3DAC79">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9709872">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67E522AA">
            <w:pPr>
              <w:widowControl/>
              <w:spacing w:line="0" w:lineRule="atLeast"/>
              <w:jc w:val="center"/>
              <w:rPr>
                <w:rFonts w:ascii="仿宋" w:hAnsi="仿宋" w:eastAsia="仿宋" w:cs="仿宋"/>
                <w:bCs/>
                <w:spacing w:val="-10"/>
                <w:kern w:val="0"/>
                <w:sz w:val="24"/>
              </w:rPr>
            </w:pPr>
          </w:p>
        </w:tc>
        <w:tc>
          <w:tcPr>
            <w:tcW w:w="992" w:type="dxa"/>
            <w:noWrap w:val="0"/>
            <w:vAlign w:val="center"/>
          </w:tcPr>
          <w:p w14:paraId="551356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7998B9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0FD53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035C5E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ZH13040820064</w:t>
            </w:r>
          </w:p>
        </w:tc>
        <w:tc>
          <w:tcPr>
            <w:tcW w:w="567" w:type="dxa"/>
            <w:vMerge w:val="restart"/>
            <w:noWrap w:val="0"/>
            <w:vAlign w:val="center"/>
          </w:tcPr>
          <w:p w14:paraId="66A969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536B7C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永合会镇</w:t>
            </w:r>
          </w:p>
        </w:tc>
        <w:tc>
          <w:tcPr>
            <w:tcW w:w="732" w:type="dxa"/>
            <w:vMerge w:val="restart"/>
            <w:noWrap w:val="0"/>
            <w:vAlign w:val="center"/>
          </w:tcPr>
          <w:p w14:paraId="6833A2C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1" w:type="dxa"/>
            <w:vMerge w:val="restart"/>
            <w:noWrap w:val="0"/>
            <w:vAlign w:val="center"/>
          </w:tcPr>
          <w:p w14:paraId="2DB566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大气环境高排放重点管控区、水环境工业污染重点管控区、河北永年工业园区特钢工业园</w:t>
            </w:r>
          </w:p>
        </w:tc>
        <w:tc>
          <w:tcPr>
            <w:tcW w:w="992" w:type="dxa"/>
            <w:noWrap w:val="0"/>
            <w:vAlign w:val="center"/>
          </w:tcPr>
          <w:p w14:paraId="039BA06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BC1DEE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w:t>
            </w:r>
            <w:r>
              <w:rPr>
                <w:rFonts w:hint="eastAsia" w:eastAsia="宋体"/>
                <w:sz w:val="24"/>
                <w:lang w:eastAsia="zh-CN"/>
              </w:rPr>
              <w:t>。</w:t>
            </w:r>
          </w:p>
        </w:tc>
      </w:tr>
      <w:tr w14:paraId="4EB40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735CDC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0ECAF3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621F5E7">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1B0CC2EE">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1E8FE1D8">
            <w:pPr>
              <w:widowControl/>
              <w:spacing w:line="0" w:lineRule="atLeast"/>
              <w:jc w:val="center"/>
              <w:rPr>
                <w:rFonts w:ascii="仿宋" w:hAnsi="仿宋" w:eastAsia="仿宋" w:cs="仿宋"/>
                <w:bCs/>
                <w:spacing w:val="-10"/>
                <w:kern w:val="0"/>
                <w:sz w:val="24"/>
              </w:rPr>
            </w:pPr>
          </w:p>
        </w:tc>
        <w:tc>
          <w:tcPr>
            <w:tcW w:w="992" w:type="dxa"/>
            <w:noWrap w:val="0"/>
            <w:vAlign w:val="center"/>
          </w:tcPr>
          <w:p w14:paraId="140A08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4B3ECB3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工业企业污染物排放满足《工业企业挥发性有机物排放控制标准》（DB13/2322-2016）、《挥发性有机物无组织排放控制标准》（GB37822-2019）、《锅炉大气污染物排放标准》（DB13/5161-2020）、《工业炉窑大气污染物排放标准》（DB13/1640-2012）中的相应排放限值，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的通知》(冀环大气〔2019〕607号)及“退后十”方案中邯郸限值要求。2.现有及新（改、扩）建向环境水体直接排放污水的排污单位满足《子牙河流域水污染物排放标准》（DB13/2796-2018)相应排放限值要求。</w:t>
            </w:r>
          </w:p>
        </w:tc>
      </w:tr>
      <w:tr w14:paraId="0FDEB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959E23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5E3543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21F5BFE">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3B01A3CE">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5F15FEB">
            <w:pPr>
              <w:widowControl/>
              <w:spacing w:line="0" w:lineRule="atLeast"/>
              <w:jc w:val="center"/>
              <w:rPr>
                <w:rFonts w:ascii="仿宋" w:hAnsi="仿宋" w:eastAsia="仿宋" w:cs="仿宋"/>
                <w:bCs/>
                <w:spacing w:val="-10"/>
                <w:kern w:val="0"/>
                <w:sz w:val="24"/>
              </w:rPr>
            </w:pPr>
          </w:p>
        </w:tc>
        <w:tc>
          <w:tcPr>
            <w:tcW w:w="992" w:type="dxa"/>
            <w:noWrap w:val="0"/>
            <w:vAlign w:val="center"/>
          </w:tcPr>
          <w:p w14:paraId="1F97F7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4F305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园区应加强管理，严格落实规划环评及企业环评提出的风险防范措施，结合园区突发环境事件应急预案，进一步指导园区风险污染防控。</w:t>
            </w:r>
          </w:p>
        </w:tc>
      </w:tr>
      <w:tr w14:paraId="29081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FF18CD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030EA9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C09AB63">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49652B39">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386FF74B">
            <w:pPr>
              <w:widowControl/>
              <w:spacing w:line="0" w:lineRule="atLeast"/>
              <w:jc w:val="center"/>
              <w:rPr>
                <w:rFonts w:ascii="仿宋" w:hAnsi="仿宋" w:eastAsia="仿宋" w:cs="仿宋"/>
                <w:bCs/>
                <w:spacing w:val="-10"/>
                <w:kern w:val="0"/>
                <w:sz w:val="24"/>
              </w:rPr>
            </w:pPr>
          </w:p>
        </w:tc>
        <w:tc>
          <w:tcPr>
            <w:tcW w:w="992" w:type="dxa"/>
            <w:noWrap w:val="0"/>
            <w:vAlign w:val="center"/>
          </w:tcPr>
          <w:p w14:paraId="52CA7A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3D9D99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1.园区要严格以可提供水资源为上线，严格限制开采地下水。2.园区要对新增建设用地占用耕地规模实行总量控制，落实耕地占补平衡，确保耕地数量不下降、质量不降低。</w:t>
            </w:r>
          </w:p>
        </w:tc>
      </w:tr>
      <w:tr w14:paraId="5610C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B02EB1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ZH13040830064</w:t>
            </w:r>
          </w:p>
        </w:tc>
        <w:tc>
          <w:tcPr>
            <w:tcW w:w="567" w:type="dxa"/>
            <w:vMerge w:val="restart"/>
            <w:noWrap w:val="0"/>
            <w:vAlign w:val="center"/>
          </w:tcPr>
          <w:p w14:paraId="160072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永年区</w:t>
            </w:r>
          </w:p>
        </w:tc>
        <w:tc>
          <w:tcPr>
            <w:tcW w:w="851" w:type="dxa"/>
            <w:vMerge w:val="restart"/>
            <w:noWrap w:val="0"/>
            <w:vAlign w:val="center"/>
          </w:tcPr>
          <w:p w14:paraId="0708F9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临洺关镇、大北旺镇、张西堡镇、广府镇、刘营镇、东杨庄镇、讲武镇、西苏镇、刘汉乡、正西乡、曲陌乡、辛庄堡乡、小龙马乡、永合会镇、界河店乡、西河庄乡、西阳城乡</w:t>
            </w:r>
          </w:p>
        </w:tc>
        <w:tc>
          <w:tcPr>
            <w:tcW w:w="732" w:type="dxa"/>
            <w:vMerge w:val="restart"/>
            <w:noWrap w:val="0"/>
            <w:vAlign w:val="center"/>
          </w:tcPr>
          <w:p w14:paraId="706745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1111" w:type="dxa"/>
            <w:vMerge w:val="restart"/>
            <w:noWrap w:val="0"/>
            <w:vAlign w:val="center"/>
          </w:tcPr>
          <w:p w14:paraId="7A2D98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992" w:type="dxa"/>
            <w:noWrap w:val="0"/>
            <w:vAlign w:val="center"/>
          </w:tcPr>
          <w:p w14:paraId="5F6674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584D55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确保“散乱污”企业动态清零。按照中共邯郸市委邯郸市人民政府印发《邯郸市空气质量综合指数“退后十”攻坚行动方案》的通知（邯文〔2021〕12号）相应内容进行管理。2.禁止建设生产预应力钢丝的单罐拉丝机生产设备、中频发电机感应加热源、和C616、C618、C620、CA630、C630、C640、C650普通车床。3.提高VOCs排放重点行业环保准入门槛，新建涉VOCs排放的工业企业要入园区。4.禁止建设生产和使用高VOCs含量的溶剂型涂料、油墨、胶粘剂等项目。5.严格地下水管理，地下水禁采区和地下水限采区内按照《河北省人民政府关于公布地下水超采区和禁止开采区、限制开采区范围的通知》（冀政字〔2022〕59号）要求执行。</w:t>
            </w:r>
          </w:p>
        </w:tc>
      </w:tr>
      <w:tr w14:paraId="39B19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F66B6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60F091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80BE83C">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FCF7D5F">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41C5CAC4">
            <w:pPr>
              <w:widowControl/>
              <w:spacing w:line="0" w:lineRule="atLeast"/>
              <w:jc w:val="center"/>
              <w:rPr>
                <w:rFonts w:ascii="仿宋" w:hAnsi="仿宋" w:eastAsia="仿宋" w:cs="仿宋"/>
                <w:bCs/>
                <w:spacing w:val="-10"/>
                <w:kern w:val="0"/>
                <w:sz w:val="24"/>
              </w:rPr>
            </w:pPr>
          </w:p>
        </w:tc>
        <w:tc>
          <w:tcPr>
            <w:tcW w:w="992" w:type="dxa"/>
            <w:noWrap w:val="0"/>
            <w:vAlign w:val="center"/>
          </w:tcPr>
          <w:p w14:paraId="5F0E86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312027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包装装潢及其他印刷业污染物排放满足《工业企业挥发性有机物排放控制标准》(DB13/2322-2016)和《挥发性有机物无组织排放控制标准》(GB37822-2019)中相应排放限值要求。2.印刷工业污染防治措施按照《印刷工业污染防治可行技术指南》(HJ1089-2020)和《关于印发&lt;河北省重点行业挥发性有机物污染控制技术指引&gt;》(冀环大气〔2019〕501号)中要求执行。3.全面加强原辅材料源头替代，从源头减少VOCs产生。涉VOCs重点企业全面执行《挥发性有机物无组织排放控制标准》(GB37822-2019)。选择适宜的废气治理工艺，对VOCs污染源进行有效处理。4.砖瓦行业污染物排放满足《砖瓦工业大气污染物排放标准》（GB2962-2013）及修改单中相应排放限值要求。5.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79212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F5C3B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B9A638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C5C0962">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51444955">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2978974D">
            <w:pPr>
              <w:widowControl/>
              <w:spacing w:line="0" w:lineRule="atLeast"/>
              <w:jc w:val="center"/>
              <w:rPr>
                <w:rFonts w:ascii="仿宋" w:hAnsi="仿宋" w:eastAsia="仿宋" w:cs="仿宋"/>
                <w:bCs/>
                <w:spacing w:val="-10"/>
                <w:kern w:val="0"/>
                <w:sz w:val="24"/>
              </w:rPr>
            </w:pPr>
          </w:p>
        </w:tc>
        <w:tc>
          <w:tcPr>
            <w:tcW w:w="992" w:type="dxa"/>
            <w:noWrap w:val="0"/>
            <w:vAlign w:val="center"/>
          </w:tcPr>
          <w:p w14:paraId="6BD31B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04E7E7A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6677C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543794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C33274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58A1CE0">
            <w:pPr>
              <w:widowControl/>
              <w:spacing w:line="0" w:lineRule="atLeast"/>
              <w:jc w:val="center"/>
              <w:rPr>
                <w:rFonts w:ascii="仿宋" w:hAnsi="仿宋" w:eastAsia="仿宋" w:cs="仿宋"/>
                <w:bCs/>
                <w:spacing w:val="-10"/>
                <w:kern w:val="0"/>
                <w:sz w:val="24"/>
              </w:rPr>
            </w:pPr>
          </w:p>
        </w:tc>
        <w:tc>
          <w:tcPr>
            <w:tcW w:w="732" w:type="dxa"/>
            <w:vMerge w:val="continue"/>
            <w:noWrap w:val="0"/>
            <w:vAlign w:val="center"/>
          </w:tcPr>
          <w:p w14:paraId="00D4E18B">
            <w:pPr>
              <w:widowControl/>
              <w:spacing w:line="0" w:lineRule="atLeast"/>
              <w:jc w:val="center"/>
              <w:rPr>
                <w:rFonts w:ascii="仿宋" w:hAnsi="仿宋" w:eastAsia="仿宋" w:cs="仿宋"/>
                <w:bCs/>
                <w:spacing w:val="-10"/>
                <w:kern w:val="0"/>
                <w:sz w:val="24"/>
              </w:rPr>
            </w:pPr>
          </w:p>
        </w:tc>
        <w:tc>
          <w:tcPr>
            <w:tcW w:w="1111" w:type="dxa"/>
            <w:vMerge w:val="continue"/>
            <w:noWrap w:val="0"/>
            <w:vAlign w:val="center"/>
          </w:tcPr>
          <w:p w14:paraId="70DA02A2">
            <w:pPr>
              <w:widowControl/>
              <w:spacing w:line="0" w:lineRule="atLeast"/>
              <w:jc w:val="center"/>
              <w:rPr>
                <w:rFonts w:ascii="仿宋" w:hAnsi="仿宋" w:eastAsia="仿宋" w:cs="仿宋"/>
                <w:bCs/>
                <w:spacing w:val="-10"/>
                <w:kern w:val="0"/>
                <w:sz w:val="24"/>
              </w:rPr>
            </w:pPr>
          </w:p>
        </w:tc>
        <w:tc>
          <w:tcPr>
            <w:tcW w:w="992" w:type="dxa"/>
            <w:noWrap w:val="0"/>
            <w:vAlign w:val="center"/>
          </w:tcPr>
          <w:p w14:paraId="3C3619F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6089BD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bl>
    <w:p w14:paraId="22C1E9A0">
      <w:pPr>
        <w:numPr>
          <w:ilvl w:val="1"/>
          <w:numId w:val="0"/>
        </w:numPr>
        <w:spacing w:beforeLines="50"/>
        <w:ind w:firstLine="640" w:firstLineChars="200"/>
        <w:outlineLvl w:val="1"/>
        <w:rPr>
          <w:rFonts w:ascii="仿宋" w:hAnsi="仿宋" w:eastAsia="仿宋" w:cs="仿宋"/>
          <w:b/>
          <w:sz w:val="28"/>
          <w:szCs w:val="18"/>
        </w:rPr>
      </w:pPr>
      <w:r>
        <w:rPr>
          <w:rFonts w:hint="eastAsia" w:ascii="仿宋" w:hAnsi="仿宋" w:eastAsia="仿宋" w:cs="仿宋"/>
          <w:bCs/>
          <w:sz w:val="32"/>
          <w:szCs w:val="32"/>
        </w:rPr>
        <w:br w:type="page"/>
      </w:r>
      <w:r>
        <w:rPr>
          <w:rFonts w:hint="eastAsia" w:ascii="仿宋" w:hAnsi="仿宋" w:eastAsia="仿宋" w:cs="仿宋"/>
          <w:bCs/>
          <w:sz w:val="32"/>
          <w:szCs w:val="32"/>
        </w:rPr>
        <w:t>（七）临漳县生态环境准入清单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851"/>
        <w:gridCol w:w="731"/>
        <w:gridCol w:w="1112"/>
        <w:gridCol w:w="992"/>
        <w:gridCol w:w="4053"/>
      </w:tblGrid>
      <w:tr w14:paraId="07E77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2B54A78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256156B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851" w:type="dxa"/>
            <w:shd w:val="clear" w:color="auto" w:fill="D7D7D7"/>
            <w:noWrap w:val="0"/>
            <w:vAlign w:val="center"/>
          </w:tcPr>
          <w:p w14:paraId="33B537F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31" w:type="dxa"/>
            <w:shd w:val="clear" w:color="auto" w:fill="D7D7D7"/>
            <w:noWrap w:val="0"/>
            <w:vAlign w:val="center"/>
          </w:tcPr>
          <w:p w14:paraId="14CBC9A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1112" w:type="dxa"/>
            <w:shd w:val="clear" w:color="auto" w:fill="D7D7D7"/>
            <w:noWrap w:val="0"/>
            <w:vAlign w:val="center"/>
          </w:tcPr>
          <w:p w14:paraId="4AD225B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992" w:type="dxa"/>
            <w:shd w:val="clear" w:color="auto" w:fill="D7D7D7"/>
            <w:noWrap w:val="0"/>
            <w:vAlign w:val="center"/>
          </w:tcPr>
          <w:p w14:paraId="5592E89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0C5E8F4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05C44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7E06F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ZH13042310065</w:t>
            </w:r>
          </w:p>
        </w:tc>
        <w:tc>
          <w:tcPr>
            <w:tcW w:w="567" w:type="dxa"/>
            <w:vMerge w:val="restart"/>
            <w:noWrap w:val="0"/>
            <w:vAlign w:val="center"/>
          </w:tcPr>
          <w:p w14:paraId="34AFCA2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临漳县</w:t>
            </w:r>
          </w:p>
        </w:tc>
        <w:tc>
          <w:tcPr>
            <w:tcW w:w="851" w:type="dxa"/>
            <w:vMerge w:val="restart"/>
            <w:noWrap w:val="0"/>
            <w:vAlign w:val="center"/>
          </w:tcPr>
          <w:p w14:paraId="7683C11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柏鹤集乡、狄邱乡、杜村集乡、南东坊镇、孙陶集镇、邺城镇、张村集乡</w:t>
            </w:r>
          </w:p>
        </w:tc>
        <w:tc>
          <w:tcPr>
            <w:tcW w:w="731" w:type="dxa"/>
            <w:vMerge w:val="restart"/>
            <w:noWrap w:val="0"/>
            <w:vAlign w:val="center"/>
          </w:tcPr>
          <w:p w14:paraId="71D3DD8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2" w:type="dxa"/>
            <w:vMerge w:val="restart"/>
            <w:noWrap w:val="0"/>
            <w:vAlign w:val="center"/>
          </w:tcPr>
          <w:p w14:paraId="4BA4F2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992" w:type="dxa"/>
            <w:noWrap w:val="0"/>
            <w:vAlign w:val="center"/>
          </w:tcPr>
          <w:p w14:paraId="79E36D1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6386B10">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1.满足《中华人民共和国河道管理条例》相关要求。2.按照总体准入的生态空间总体管控要求中河湖滨岸带管控要求执行。</w:t>
            </w:r>
          </w:p>
        </w:tc>
      </w:tr>
      <w:tr w14:paraId="00479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E0F8E4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A16FD5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B7B8A6F">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76EB39EE">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35347A76">
            <w:pPr>
              <w:widowControl/>
              <w:spacing w:line="0" w:lineRule="atLeast"/>
              <w:jc w:val="center"/>
              <w:rPr>
                <w:rFonts w:ascii="仿宋" w:hAnsi="仿宋" w:eastAsia="仿宋" w:cs="仿宋"/>
                <w:bCs/>
                <w:spacing w:val="-10"/>
                <w:kern w:val="0"/>
                <w:sz w:val="24"/>
              </w:rPr>
            </w:pPr>
          </w:p>
        </w:tc>
        <w:tc>
          <w:tcPr>
            <w:tcW w:w="992" w:type="dxa"/>
            <w:noWrap w:val="0"/>
            <w:vAlign w:val="center"/>
          </w:tcPr>
          <w:p w14:paraId="1C50439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A86237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0218E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4216D3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3626D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63B20B5">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4FA4038F">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59740FA8">
            <w:pPr>
              <w:widowControl/>
              <w:spacing w:line="0" w:lineRule="atLeast"/>
              <w:jc w:val="center"/>
              <w:rPr>
                <w:rFonts w:ascii="仿宋" w:hAnsi="仿宋" w:eastAsia="仿宋" w:cs="仿宋"/>
                <w:bCs/>
                <w:spacing w:val="-10"/>
                <w:kern w:val="0"/>
                <w:sz w:val="24"/>
              </w:rPr>
            </w:pPr>
          </w:p>
        </w:tc>
        <w:tc>
          <w:tcPr>
            <w:tcW w:w="992" w:type="dxa"/>
            <w:noWrap w:val="0"/>
            <w:vAlign w:val="center"/>
          </w:tcPr>
          <w:p w14:paraId="5717D3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930008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07FAC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9307B2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56DA36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29474B4">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4EB3D77F">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6BD8DE80">
            <w:pPr>
              <w:widowControl/>
              <w:spacing w:line="0" w:lineRule="atLeast"/>
              <w:jc w:val="center"/>
              <w:rPr>
                <w:rFonts w:ascii="仿宋" w:hAnsi="仿宋" w:eastAsia="仿宋" w:cs="仿宋"/>
                <w:bCs/>
                <w:spacing w:val="-10"/>
                <w:kern w:val="0"/>
                <w:sz w:val="24"/>
              </w:rPr>
            </w:pPr>
          </w:p>
        </w:tc>
        <w:tc>
          <w:tcPr>
            <w:tcW w:w="992" w:type="dxa"/>
            <w:noWrap w:val="0"/>
            <w:vAlign w:val="center"/>
          </w:tcPr>
          <w:p w14:paraId="4CD135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DD826A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6CA7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B66EA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ZH13042310066</w:t>
            </w:r>
          </w:p>
        </w:tc>
        <w:tc>
          <w:tcPr>
            <w:tcW w:w="567" w:type="dxa"/>
            <w:vMerge w:val="restart"/>
            <w:noWrap w:val="0"/>
            <w:vAlign w:val="center"/>
          </w:tcPr>
          <w:p w14:paraId="7818E5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临漳县</w:t>
            </w:r>
          </w:p>
        </w:tc>
        <w:tc>
          <w:tcPr>
            <w:tcW w:w="851" w:type="dxa"/>
            <w:vMerge w:val="restart"/>
            <w:noWrap w:val="0"/>
            <w:vAlign w:val="center"/>
          </w:tcPr>
          <w:p w14:paraId="09BB85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孙陶集镇、柳园镇、称勾集镇、邺城镇、张村集乡、习文乡、砖寨营乡</w:t>
            </w:r>
          </w:p>
        </w:tc>
        <w:tc>
          <w:tcPr>
            <w:tcW w:w="731" w:type="dxa"/>
            <w:vMerge w:val="restart"/>
            <w:noWrap w:val="0"/>
            <w:vAlign w:val="center"/>
          </w:tcPr>
          <w:p w14:paraId="2CA0C1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12" w:type="dxa"/>
            <w:vMerge w:val="restart"/>
            <w:noWrap w:val="0"/>
            <w:vAlign w:val="center"/>
          </w:tcPr>
          <w:p w14:paraId="2ED5943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992" w:type="dxa"/>
            <w:noWrap w:val="0"/>
            <w:vAlign w:val="center"/>
          </w:tcPr>
          <w:p w14:paraId="19330BF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19105E0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27D7C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F8696A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81750D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53627D2">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004FC159">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7085ADCC">
            <w:pPr>
              <w:widowControl/>
              <w:spacing w:line="0" w:lineRule="atLeast"/>
              <w:jc w:val="center"/>
              <w:rPr>
                <w:rFonts w:ascii="仿宋" w:hAnsi="仿宋" w:eastAsia="仿宋" w:cs="仿宋"/>
                <w:bCs/>
                <w:spacing w:val="-10"/>
                <w:kern w:val="0"/>
                <w:sz w:val="24"/>
              </w:rPr>
            </w:pPr>
          </w:p>
        </w:tc>
        <w:tc>
          <w:tcPr>
            <w:tcW w:w="992" w:type="dxa"/>
            <w:noWrap w:val="0"/>
            <w:vAlign w:val="center"/>
          </w:tcPr>
          <w:p w14:paraId="44B716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2B2DBC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3D4EE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6071A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61BC70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4E0716">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2D26E85">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6DF91486">
            <w:pPr>
              <w:widowControl/>
              <w:spacing w:line="0" w:lineRule="atLeast"/>
              <w:jc w:val="center"/>
              <w:rPr>
                <w:rFonts w:ascii="仿宋" w:hAnsi="仿宋" w:eastAsia="仿宋" w:cs="仿宋"/>
                <w:bCs/>
                <w:spacing w:val="-10"/>
                <w:kern w:val="0"/>
                <w:sz w:val="24"/>
              </w:rPr>
            </w:pPr>
          </w:p>
        </w:tc>
        <w:tc>
          <w:tcPr>
            <w:tcW w:w="992" w:type="dxa"/>
            <w:noWrap w:val="0"/>
            <w:vAlign w:val="center"/>
          </w:tcPr>
          <w:p w14:paraId="01D61B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5C6EBD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48AC6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1B1A95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672695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24A0A4A">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3AA08BB7">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1BD32032">
            <w:pPr>
              <w:widowControl/>
              <w:spacing w:line="0" w:lineRule="atLeast"/>
              <w:jc w:val="center"/>
              <w:rPr>
                <w:rFonts w:ascii="仿宋" w:hAnsi="仿宋" w:eastAsia="仿宋" w:cs="仿宋"/>
                <w:bCs/>
                <w:spacing w:val="-10"/>
                <w:kern w:val="0"/>
                <w:sz w:val="24"/>
              </w:rPr>
            </w:pPr>
          </w:p>
        </w:tc>
        <w:tc>
          <w:tcPr>
            <w:tcW w:w="992" w:type="dxa"/>
            <w:noWrap w:val="0"/>
            <w:vAlign w:val="center"/>
          </w:tcPr>
          <w:p w14:paraId="6AB4A4E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F14A40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68434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5342A6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ZH13042320067</w:t>
            </w:r>
          </w:p>
        </w:tc>
        <w:tc>
          <w:tcPr>
            <w:tcW w:w="567" w:type="dxa"/>
            <w:vMerge w:val="restart"/>
            <w:noWrap w:val="0"/>
            <w:vAlign w:val="center"/>
          </w:tcPr>
          <w:p w14:paraId="064D8C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临漳县</w:t>
            </w:r>
          </w:p>
        </w:tc>
        <w:tc>
          <w:tcPr>
            <w:tcW w:w="851" w:type="dxa"/>
            <w:vMerge w:val="restart"/>
            <w:noWrap w:val="0"/>
            <w:vAlign w:val="center"/>
          </w:tcPr>
          <w:p w14:paraId="740B86B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邺城镇</w:t>
            </w:r>
          </w:p>
        </w:tc>
        <w:tc>
          <w:tcPr>
            <w:tcW w:w="731" w:type="dxa"/>
            <w:vMerge w:val="restart"/>
            <w:noWrap w:val="0"/>
            <w:vAlign w:val="center"/>
          </w:tcPr>
          <w:p w14:paraId="4F9AA8A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2" w:type="dxa"/>
            <w:vMerge w:val="restart"/>
            <w:noWrap w:val="0"/>
            <w:vAlign w:val="center"/>
          </w:tcPr>
          <w:p w14:paraId="3DB8247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大气环境高排放重点管控区、水环境工业污染重点管控区、河北漳河经济开发区</w:t>
            </w:r>
          </w:p>
        </w:tc>
        <w:tc>
          <w:tcPr>
            <w:tcW w:w="992" w:type="dxa"/>
            <w:noWrap w:val="0"/>
            <w:vAlign w:val="center"/>
          </w:tcPr>
          <w:p w14:paraId="779081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6222BDF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禁止建设《产业结构调整指导目录(2019年本)》中禁止类项目及设备(如砖瓦轮窑以及立窑、无顶轮窑、马蹄窑等土窑、普通挤砖机等）。</w:t>
            </w:r>
          </w:p>
        </w:tc>
      </w:tr>
      <w:tr w14:paraId="69B21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D9BC87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25FB99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A78B0D1">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C7EC935">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506A7384">
            <w:pPr>
              <w:widowControl/>
              <w:spacing w:line="0" w:lineRule="atLeast"/>
              <w:jc w:val="center"/>
              <w:rPr>
                <w:rFonts w:ascii="仿宋" w:hAnsi="仿宋" w:eastAsia="仿宋" w:cs="仿宋"/>
                <w:bCs/>
                <w:spacing w:val="-10"/>
                <w:kern w:val="0"/>
                <w:sz w:val="24"/>
              </w:rPr>
            </w:pPr>
          </w:p>
        </w:tc>
        <w:tc>
          <w:tcPr>
            <w:tcW w:w="992" w:type="dxa"/>
            <w:noWrap w:val="0"/>
            <w:vAlign w:val="center"/>
          </w:tcPr>
          <w:p w14:paraId="0EFD733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087367B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砖瓦行业污染物排放满足《砖瓦工业大气污染物排放标准》（GB2962-2013）及修改单中相应排放限值要求。2.冲天炉、玻璃熔窑、以煤和煤矸石为燃料的砖瓦烧结窑、耐火材料焙烧窑(电窑除外)、炭素焙(煅)烧炉(窑)、石灰窑、和精炼炉等，原则上应纳入重点排污单位名录，安装自动监控设施。4.对涉粉状物料十大行业按照“退后十”方案中相应要求管理。5.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41FCB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0446A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39DAEE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118644F">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7C6DA2F0">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26DBB0FB">
            <w:pPr>
              <w:widowControl/>
              <w:spacing w:line="0" w:lineRule="atLeast"/>
              <w:jc w:val="center"/>
              <w:rPr>
                <w:rFonts w:ascii="仿宋" w:hAnsi="仿宋" w:eastAsia="仿宋" w:cs="仿宋"/>
                <w:bCs/>
                <w:spacing w:val="-10"/>
                <w:kern w:val="0"/>
                <w:sz w:val="24"/>
              </w:rPr>
            </w:pPr>
          </w:p>
        </w:tc>
        <w:tc>
          <w:tcPr>
            <w:tcW w:w="992" w:type="dxa"/>
            <w:noWrap w:val="0"/>
            <w:vAlign w:val="center"/>
          </w:tcPr>
          <w:p w14:paraId="7C9F75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F53255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460AE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2F5540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A8440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DFDBA84">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7C747905">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419134A6">
            <w:pPr>
              <w:widowControl/>
              <w:spacing w:line="0" w:lineRule="atLeast"/>
              <w:jc w:val="center"/>
              <w:rPr>
                <w:rFonts w:ascii="仿宋" w:hAnsi="仿宋" w:eastAsia="仿宋" w:cs="仿宋"/>
                <w:bCs/>
                <w:spacing w:val="-10"/>
                <w:kern w:val="0"/>
                <w:sz w:val="24"/>
              </w:rPr>
            </w:pPr>
          </w:p>
        </w:tc>
        <w:tc>
          <w:tcPr>
            <w:tcW w:w="992" w:type="dxa"/>
            <w:noWrap w:val="0"/>
            <w:vAlign w:val="center"/>
          </w:tcPr>
          <w:p w14:paraId="44CFC0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EB1A820">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w:t>
            </w:r>
          </w:p>
        </w:tc>
      </w:tr>
      <w:tr w14:paraId="5DA8E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953BB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ZH13042320068</w:t>
            </w:r>
          </w:p>
        </w:tc>
        <w:tc>
          <w:tcPr>
            <w:tcW w:w="567" w:type="dxa"/>
            <w:vMerge w:val="restart"/>
            <w:noWrap w:val="0"/>
            <w:vAlign w:val="center"/>
          </w:tcPr>
          <w:p w14:paraId="13D88E3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临漳县</w:t>
            </w:r>
          </w:p>
        </w:tc>
        <w:tc>
          <w:tcPr>
            <w:tcW w:w="851" w:type="dxa"/>
            <w:vMerge w:val="restart"/>
            <w:noWrap w:val="0"/>
            <w:vAlign w:val="center"/>
          </w:tcPr>
          <w:p w14:paraId="1CA69D1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临漳镇、南东坊镇</w:t>
            </w:r>
          </w:p>
        </w:tc>
        <w:tc>
          <w:tcPr>
            <w:tcW w:w="731" w:type="dxa"/>
            <w:vMerge w:val="restart"/>
            <w:noWrap w:val="0"/>
            <w:vAlign w:val="center"/>
          </w:tcPr>
          <w:p w14:paraId="4B3CB8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2" w:type="dxa"/>
            <w:vMerge w:val="restart"/>
            <w:noWrap w:val="0"/>
            <w:vAlign w:val="center"/>
          </w:tcPr>
          <w:p w14:paraId="4673DE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大气环境高排放重点管控区、水环境工业污染重点管控区、临漳经济开发区新城工业园、 地下水开采重点管控区</w:t>
            </w:r>
          </w:p>
        </w:tc>
        <w:tc>
          <w:tcPr>
            <w:tcW w:w="992" w:type="dxa"/>
            <w:noWrap w:val="0"/>
            <w:vAlign w:val="center"/>
          </w:tcPr>
          <w:p w14:paraId="46D9303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5DAF09DE">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产业结构调整指导目录（2019年本）》、《河北省禁止投资的产业目录》明确禁止、限制建设的项目；《大气污染防治行动计划》、《水污染防治行动计划》《土壤污染防治行动计划》明确禁止建设的项目；《河北省大气污染防治行动计划实施方案》、《河北省水污染防治工作方案》《河北省环境保护厅关于进一步加强建设项目环保管理的通知》明确禁止建设的项目；《邯郸市人民政府关于实行项目投资负面清单管理的通告》（邯政告[2014]12号）明确禁止建设的项目禁止入驻。2.不符合规划主导产业及其上下游产业的项目禁止入驻。3.不符合资源能源利用效率产业禁止入驻。4、严格地下水管理，地下水禁采区和地下水限采区内按照《河北省人民政府关于公布地下水超采区和禁止开采区、限制开采区范围的通知》（冀政字〔2022〕59号）要求执行。</w:t>
            </w:r>
          </w:p>
        </w:tc>
      </w:tr>
      <w:tr w14:paraId="4F856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3C8B9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11E06B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3A57A10">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21DA5791">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6481346F">
            <w:pPr>
              <w:widowControl/>
              <w:spacing w:line="0" w:lineRule="atLeast"/>
              <w:jc w:val="center"/>
              <w:rPr>
                <w:rFonts w:ascii="仿宋" w:hAnsi="仿宋" w:eastAsia="仿宋" w:cs="仿宋"/>
                <w:bCs/>
                <w:spacing w:val="-10"/>
                <w:kern w:val="0"/>
                <w:sz w:val="24"/>
              </w:rPr>
            </w:pPr>
          </w:p>
        </w:tc>
        <w:tc>
          <w:tcPr>
            <w:tcW w:w="992" w:type="dxa"/>
            <w:noWrap w:val="0"/>
            <w:vAlign w:val="center"/>
          </w:tcPr>
          <w:p w14:paraId="36983FC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610B48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工业企业污染物排放满足《工业企业挥发性有机物排放控制标准》（DB13/2322-2016）、《挥发性有机物无组织排放控制标准》（GB37822-2019）、《锅炉大气污染物排放标准》（DB13/5161-2020）、《工业炉窑大气污染物排放标准》（DB13/1640-2012）中的相应排放限值，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4EB73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6838D0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C97A3C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341159D">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32CA7302">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4B15D716">
            <w:pPr>
              <w:widowControl/>
              <w:spacing w:line="0" w:lineRule="atLeast"/>
              <w:jc w:val="center"/>
              <w:rPr>
                <w:rFonts w:ascii="仿宋" w:hAnsi="仿宋" w:eastAsia="仿宋" w:cs="仿宋"/>
                <w:bCs/>
                <w:spacing w:val="-10"/>
                <w:kern w:val="0"/>
                <w:sz w:val="24"/>
              </w:rPr>
            </w:pPr>
          </w:p>
        </w:tc>
        <w:tc>
          <w:tcPr>
            <w:tcW w:w="992" w:type="dxa"/>
            <w:noWrap w:val="0"/>
            <w:vAlign w:val="center"/>
          </w:tcPr>
          <w:p w14:paraId="34584D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CD0254E">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开发区应加强管理，严格落实规划环评及企业环评提出的风险防范措施，结合开发区突发环境事件应急预案，进一步指导开发区风险污染防控。</w:t>
            </w:r>
          </w:p>
        </w:tc>
      </w:tr>
      <w:tr w14:paraId="1CFCC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38" w:hRule="atLeast"/>
          <w:jc w:val="center"/>
        </w:trPr>
        <w:tc>
          <w:tcPr>
            <w:tcW w:w="595" w:type="dxa"/>
            <w:vMerge w:val="continue"/>
            <w:noWrap w:val="0"/>
            <w:vAlign w:val="center"/>
          </w:tcPr>
          <w:p w14:paraId="026FC02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2DF59C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689390F">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13111BC8">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2D3AC16C">
            <w:pPr>
              <w:widowControl/>
              <w:spacing w:line="0" w:lineRule="atLeast"/>
              <w:jc w:val="center"/>
              <w:rPr>
                <w:rFonts w:ascii="仿宋" w:hAnsi="仿宋" w:eastAsia="仿宋" w:cs="仿宋"/>
                <w:bCs/>
                <w:spacing w:val="-10"/>
                <w:kern w:val="0"/>
                <w:sz w:val="24"/>
              </w:rPr>
            </w:pPr>
          </w:p>
        </w:tc>
        <w:tc>
          <w:tcPr>
            <w:tcW w:w="992" w:type="dxa"/>
            <w:noWrap w:val="0"/>
            <w:vAlign w:val="center"/>
          </w:tcPr>
          <w:p w14:paraId="0E37B85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1BDFE6C">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将南水北调地表水厂为园区分配水量作为园区新鲜水水资源利用上线，开发区应大力实施梯级用水制度，积极使用再生水。2.开发范围应控制在允许建设区范围内。3、地下水开发利用应当以浅层地下水为主。深层地下水作为战略储备水源、应急供水水源、无替代水源地区的居民生活水源，应当严格限制开采。</w:t>
            </w:r>
          </w:p>
        </w:tc>
      </w:tr>
      <w:tr w14:paraId="5CA3A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AF3C4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ZH13042320069</w:t>
            </w:r>
          </w:p>
        </w:tc>
        <w:tc>
          <w:tcPr>
            <w:tcW w:w="567" w:type="dxa"/>
            <w:vMerge w:val="restart"/>
            <w:noWrap w:val="0"/>
            <w:vAlign w:val="center"/>
          </w:tcPr>
          <w:p w14:paraId="1428AB6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临漳县</w:t>
            </w:r>
          </w:p>
        </w:tc>
        <w:tc>
          <w:tcPr>
            <w:tcW w:w="851" w:type="dxa"/>
            <w:vMerge w:val="restart"/>
            <w:noWrap w:val="0"/>
            <w:vAlign w:val="center"/>
          </w:tcPr>
          <w:p w14:paraId="014B07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邺城镇、章里集镇</w:t>
            </w:r>
          </w:p>
        </w:tc>
        <w:tc>
          <w:tcPr>
            <w:tcW w:w="731" w:type="dxa"/>
            <w:vMerge w:val="restart"/>
            <w:noWrap w:val="0"/>
            <w:vAlign w:val="center"/>
          </w:tcPr>
          <w:p w14:paraId="605D062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2" w:type="dxa"/>
            <w:vMerge w:val="restart"/>
            <w:noWrap w:val="0"/>
            <w:vAlign w:val="center"/>
          </w:tcPr>
          <w:p w14:paraId="2577AFA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大气环境高排放重点管控区、水环境工业污染重点管控区、临漳经济开发区邺都工业园</w:t>
            </w:r>
          </w:p>
        </w:tc>
        <w:tc>
          <w:tcPr>
            <w:tcW w:w="992" w:type="dxa"/>
            <w:noWrap w:val="0"/>
            <w:vAlign w:val="center"/>
          </w:tcPr>
          <w:p w14:paraId="4B4CF7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1B03668">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1.对不符合产业政策的要求的企业禁止入园。2.不符合园区准入条件的禁止入园。3.不符合行业清洁生产标准中国家先进水平的企业禁止入园。</w:t>
            </w:r>
          </w:p>
        </w:tc>
      </w:tr>
      <w:tr w14:paraId="48F22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DE22E5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F0F9BB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7D2CC4E">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079B9F18">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260988C7">
            <w:pPr>
              <w:widowControl/>
              <w:spacing w:line="0" w:lineRule="atLeast"/>
              <w:jc w:val="center"/>
              <w:rPr>
                <w:rFonts w:ascii="仿宋" w:hAnsi="仿宋" w:eastAsia="仿宋" w:cs="仿宋"/>
                <w:bCs/>
                <w:spacing w:val="-10"/>
                <w:kern w:val="0"/>
                <w:sz w:val="24"/>
              </w:rPr>
            </w:pPr>
          </w:p>
        </w:tc>
        <w:tc>
          <w:tcPr>
            <w:tcW w:w="992" w:type="dxa"/>
            <w:noWrap w:val="0"/>
            <w:vAlign w:val="center"/>
          </w:tcPr>
          <w:p w14:paraId="221D3A8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3ECB33DC">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园区工业企业污染物排放满足《工业企业挥发性有机物排放控制标准》（DB13/2322-2016）、《挥发性有机物无组织排放控制标准》（GB37822-2019）、《锅炉大气污染物排放标准》（DB13/5161-2020）、《工业炉窑大气污染物排放标准》（DB13/1640-2012）中的相应排放限值，并满足《关于印发〈河北省工业炉窑</w:t>
            </w:r>
            <w:r>
              <w:rPr>
                <w:rFonts w:hint="eastAsia" w:ascii="仿宋" w:hAnsi="仿宋" w:eastAsia="仿宋" w:cs="仿宋"/>
                <w:bCs/>
                <w:spacing w:val="-16"/>
                <w:kern w:val="0"/>
                <w:sz w:val="24"/>
                <w:lang w:eastAsia="zh-CN"/>
              </w:rPr>
              <w:t>综合治理实施方案〉</w:t>
            </w:r>
            <w:r>
              <w:rPr>
                <w:rFonts w:hint="eastAsia" w:ascii="仿宋" w:hAnsi="仿宋" w:eastAsia="仿宋" w:cs="仿宋"/>
                <w:bCs/>
                <w:spacing w:val="-16"/>
                <w:kern w:val="0"/>
                <w:sz w:val="24"/>
              </w:rPr>
              <w:t>的通知》(冀环大气〔2019〕607号)及“退后十”方案中邯郸限值要求。</w:t>
            </w:r>
          </w:p>
        </w:tc>
      </w:tr>
      <w:tr w14:paraId="34C14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3EDD41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B1F4B1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F366F80">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0EB6A1D9">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24D2BD0A">
            <w:pPr>
              <w:widowControl/>
              <w:spacing w:line="0" w:lineRule="atLeast"/>
              <w:jc w:val="center"/>
              <w:rPr>
                <w:rFonts w:ascii="仿宋" w:hAnsi="仿宋" w:eastAsia="仿宋" w:cs="仿宋"/>
                <w:bCs/>
                <w:spacing w:val="-10"/>
                <w:kern w:val="0"/>
                <w:sz w:val="24"/>
              </w:rPr>
            </w:pPr>
          </w:p>
        </w:tc>
        <w:tc>
          <w:tcPr>
            <w:tcW w:w="992" w:type="dxa"/>
            <w:noWrap w:val="0"/>
            <w:vAlign w:val="center"/>
          </w:tcPr>
          <w:p w14:paraId="6301770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7C54E49">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园区应加强管理，严格落实规划环评及企业环评提出的风险防范措施，结合园区突发环境事件应急预案，进一步指导园区风险污染防控。2.严格落实环境影响减缓措施、环境敏感点防护措施和环境风险防范措施，制定并不断完善环境应急预案，确保周围环境安全和公众健康不受影响。工业聚集区特别是工业用地要采取严格的防渗漏措施，避免废水（液）对地下水造成污染。</w:t>
            </w:r>
          </w:p>
        </w:tc>
      </w:tr>
      <w:tr w14:paraId="760DC0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C9E76A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5BDDC9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D5734B6">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3D189F3F">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2A558050">
            <w:pPr>
              <w:widowControl/>
              <w:spacing w:line="0" w:lineRule="atLeast"/>
              <w:jc w:val="center"/>
              <w:rPr>
                <w:rFonts w:ascii="仿宋" w:hAnsi="仿宋" w:eastAsia="仿宋" w:cs="仿宋"/>
                <w:bCs/>
                <w:spacing w:val="-10"/>
                <w:kern w:val="0"/>
                <w:sz w:val="24"/>
              </w:rPr>
            </w:pPr>
          </w:p>
        </w:tc>
        <w:tc>
          <w:tcPr>
            <w:tcW w:w="992" w:type="dxa"/>
            <w:noWrap w:val="0"/>
            <w:vAlign w:val="center"/>
          </w:tcPr>
          <w:p w14:paraId="7334C6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6E99F06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园区企业满足行业清洁生产标准中国家先进水平。</w:t>
            </w:r>
          </w:p>
        </w:tc>
      </w:tr>
      <w:tr w14:paraId="76767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8DBF80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ZH13042320070</w:t>
            </w:r>
          </w:p>
        </w:tc>
        <w:tc>
          <w:tcPr>
            <w:tcW w:w="567" w:type="dxa"/>
            <w:vMerge w:val="restart"/>
            <w:noWrap w:val="0"/>
            <w:vAlign w:val="center"/>
          </w:tcPr>
          <w:p w14:paraId="4A74F3F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临漳县</w:t>
            </w:r>
          </w:p>
        </w:tc>
        <w:tc>
          <w:tcPr>
            <w:tcW w:w="851" w:type="dxa"/>
            <w:vMerge w:val="restart"/>
            <w:noWrap w:val="0"/>
            <w:vAlign w:val="center"/>
          </w:tcPr>
          <w:p w14:paraId="4300FC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杜村集乡、临漳镇、南东坊镇、邺城镇、章里集镇</w:t>
            </w:r>
          </w:p>
        </w:tc>
        <w:tc>
          <w:tcPr>
            <w:tcW w:w="731" w:type="dxa"/>
            <w:vMerge w:val="restart"/>
            <w:noWrap w:val="0"/>
            <w:vAlign w:val="center"/>
          </w:tcPr>
          <w:p w14:paraId="4A1B935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12" w:type="dxa"/>
            <w:vMerge w:val="restart"/>
            <w:noWrap w:val="0"/>
            <w:vAlign w:val="center"/>
          </w:tcPr>
          <w:p w14:paraId="4FA5A3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大气环境受体敏感重点管控区、水环境城镇生活污染重点管控区、地下水开采重点管控区</w:t>
            </w:r>
          </w:p>
        </w:tc>
        <w:tc>
          <w:tcPr>
            <w:tcW w:w="992" w:type="dxa"/>
            <w:noWrap w:val="0"/>
            <w:vAlign w:val="center"/>
          </w:tcPr>
          <w:p w14:paraId="2E0BC09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top"/>
          </w:tcPr>
          <w:p w14:paraId="669ED62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禁止建设生产和使用高VOCs含量的溶剂型涂料、油墨、胶粘剂等项目。3.铸造企业的布局及厂址的确定应符合国家相关法律法规、产业政策以及各地方政府装备制造业和铸造行业的总体规划要求。4.铸造企业规模、生产工艺、生产装备、质量控制和能源消耗、环境保护等指标要求满足《铸造企业规范条件》(T/CFA0310021-2019)中相应指标要求。5.新（改、扩）建石墨项目必须符合国家产业政策和当地发展规划、土地利用总体规划等规定，统筹资源、能源、环境、安全和市场等因素合理布局。6.严格地下水管理，地下水禁采区和地下水限采区内按照《河北省人民政府关于公布地下水超采区和禁止开采区、限制开采区范围的通知》（冀政字〔2022〕59号）要求执行。</w:t>
            </w:r>
          </w:p>
        </w:tc>
      </w:tr>
      <w:tr w14:paraId="6BA19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F96FCD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BA0365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270EC09">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D3BB9BB">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5E50B166">
            <w:pPr>
              <w:widowControl/>
              <w:spacing w:line="0" w:lineRule="atLeast"/>
              <w:jc w:val="center"/>
              <w:rPr>
                <w:rFonts w:ascii="仿宋" w:hAnsi="仿宋" w:eastAsia="仿宋" w:cs="仿宋"/>
                <w:bCs/>
                <w:spacing w:val="-10"/>
                <w:kern w:val="0"/>
                <w:sz w:val="24"/>
              </w:rPr>
            </w:pPr>
          </w:p>
        </w:tc>
        <w:tc>
          <w:tcPr>
            <w:tcW w:w="992" w:type="dxa"/>
            <w:noWrap w:val="0"/>
            <w:vAlign w:val="center"/>
          </w:tcPr>
          <w:p w14:paraId="29741E9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7EC038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木制家具制造行业清漆、色漆水性涂料等低挥发性有机物含量涂料替代比例达到60%。污染物排放满足《工业企业挥发性有机物排放控制标准》(DB13/2322-2016)和《挥发性有机物无组织排放控制标准》(GB37822-2019)中相应排放限值要求。2.加快完善区域污水管网建设，提高污水收集率，严禁生活污水不经处理直接外排。3.铸造工业污染物排放满足《铸造工业大气污染物排放标准》(GB39726-2020)及地方标准中相应排放限值要求。4.钢铁、水泥、平板玻璃、陶瓷、焦化、铸造行业企业料堆场按照《煤场、料场、渣场扬尘污染控制技术规范》(DB13/T2352-2016)存储要求，实现规范管理。5.加快完善区域污水管网建设，提高污水收集率，严禁生活污水不经处理直接外排。6.工业炉窑污染物排放满足《工业炉窑大气污染物排放标准》(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7.炭素行业参照执行《铝工业污染物排放标准》(GB25465-2010)及修改单大气污染物特别排放限值。8.冲天炉、玻璃熔窑、以煤和煤矸石为燃料的砖瓦烧结窑、耐火材料焙烧窑(电窑除外)、炭素焙(煅)烧炉(窑)、石灰窑、和精炼炉等，原则上应纳入重点排污单位名录，安装自动监控设施。9.加快完善区域污水管网建设，提高污水收集率，严禁生活污水不经处理直接外排。</w:t>
            </w:r>
          </w:p>
        </w:tc>
      </w:tr>
      <w:tr w14:paraId="4EA03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37FA36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114933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1ED38C3">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2D651846">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3458656F">
            <w:pPr>
              <w:widowControl/>
              <w:spacing w:line="0" w:lineRule="atLeast"/>
              <w:jc w:val="center"/>
              <w:rPr>
                <w:rFonts w:ascii="仿宋" w:hAnsi="仿宋" w:eastAsia="仿宋" w:cs="仿宋"/>
                <w:bCs/>
                <w:spacing w:val="-10"/>
                <w:kern w:val="0"/>
                <w:sz w:val="24"/>
              </w:rPr>
            </w:pPr>
          </w:p>
        </w:tc>
        <w:tc>
          <w:tcPr>
            <w:tcW w:w="992" w:type="dxa"/>
            <w:noWrap w:val="0"/>
            <w:vAlign w:val="center"/>
          </w:tcPr>
          <w:p w14:paraId="092AE51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25A872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工艺过程中产生的含VOCs废料(渣、液)满足《挥发性有机物无组织排放控制标准》(GB37822-2019)中的要求。2.落实重金属相关行业规范条件，禁止新建落后产能项目，严禁产能严重过剩行业新增产能建设项目。禁止向涉重金属相关行业落后产能和产能过剩行业供应土地。</w:t>
            </w:r>
          </w:p>
        </w:tc>
      </w:tr>
      <w:tr w14:paraId="741F9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2E1D32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CDDB84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BB21120">
            <w:pPr>
              <w:widowControl/>
              <w:spacing w:line="0" w:lineRule="atLeast"/>
              <w:jc w:val="center"/>
              <w:rPr>
                <w:rFonts w:ascii="仿宋" w:hAnsi="仿宋" w:eastAsia="仿宋" w:cs="仿宋"/>
                <w:bCs/>
                <w:spacing w:val="-10"/>
                <w:kern w:val="0"/>
                <w:sz w:val="24"/>
              </w:rPr>
            </w:pPr>
          </w:p>
        </w:tc>
        <w:tc>
          <w:tcPr>
            <w:tcW w:w="731" w:type="dxa"/>
            <w:vMerge w:val="continue"/>
            <w:noWrap w:val="0"/>
            <w:vAlign w:val="center"/>
          </w:tcPr>
          <w:p w14:paraId="62BB8350">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1A7B1CE6">
            <w:pPr>
              <w:widowControl/>
              <w:spacing w:line="0" w:lineRule="atLeast"/>
              <w:jc w:val="center"/>
              <w:rPr>
                <w:rFonts w:ascii="仿宋" w:hAnsi="仿宋" w:eastAsia="仿宋" w:cs="仿宋"/>
                <w:bCs/>
                <w:spacing w:val="-10"/>
                <w:kern w:val="0"/>
                <w:sz w:val="24"/>
              </w:rPr>
            </w:pPr>
          </w:p>
        </w:tc>
        <w:tc>
          <w:tcPr>
            <w:tcW w:w="992" w:type="dxa"/>
            <w:noWrap w:val="0"/>
            <w:vAlign w:val="center"/>
          </w:tcPr>
          <w:p w14:paraId="029E37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2811B87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新（改、扩）建石墨项目，应开展节能评估和审查，水资源应循环利用。鳞片石墨选矿工艺水循环利用率不低于90%。高纯石墨、可膨胀石墨工艺水循环利用率不低于80%。2.鼓励综合利用尾矿资源，大力发展循环经济。3、地下水开发利用应当以浅层地下水为主。深层地下水作为战略储备水源、应急供水水源、无替代水源地区的居民生活水源，应当严格限制开采。</w:t>
            </w:r>
          </w:p>
        </w:tc>
      </w:tr>
      <w:tr w14:paraId="6CBC8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A2707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ZH13042330073</w:t>
            </w:r>
          </w:p>
        </w:tc>
        <w:tc>
          <w:tcPr>
            <w:tcW w:w="567" w:type="dxa"/>
            <w:vMerge w:val="restart"/>
            <w:noWrap w:val="0"/>
            <w:vAlign w:val="center"/>
          </w:tcPr>
          <w:p w14:paraId="317ACE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临漳县</w:t>
            </w:r>
          </w:p>
        </w:tc>
        <w:tc>
          <w:tcPr>
            <w:tcW w:w="851" w:type="dxa"/>
            <w:vMerge w:val="restart"/>
            <w:noWrap w:val="0"/>
            <w:vAlign w:val="center"/>
          </w:tcPr>
          <w:p w14:paraId="162974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称勾集镇、狄邱乡、西羊羔乡、杜村集乡、柏鹤集乡、孙陶集镇、柳园镇、邺城镇、张村集乡、习文乡、砖寨营乡</w:t>
            </w:r>
          </w:p>
        </w:tc>
        <w:tc>
          <w:tcPr>
            <w:tcW w:w="731" w:type="dxa"/>
            <w:vMerge w:val="restart"/>
            <w:noWrap w:val="0"/>
            <w:vAlign w:val="center"/>
          </w:tcPr>
          <w:p w14:paraId="26F65BD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1112" w:type="dxa"/>
            <w:vMerge w:val="restart"/>
            <w:noWrap w:val="0"/>
            <w:vAlign w:val="center"/>
          </w:tcPr>
          <w:p w14:paraId="02D8F05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992" w:type="dxa"/>
            <w:noWrap w:val="0"/>
            <w:vAlign w:val="center"/>
          </w:tcPr>
          <w:p w14:paraId="392541C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B05264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建设《产业结构调整指导目录(2019年本)》中禁止类项目及设备(如砖瓦轮窑以及立窑、无顶轮窑、马蹄窑等土窑、普通挤砖机等）。2.严格地下水管理，地下水禁采区和地下水限采区内按照《河北省人民政府关于公布地下水超采区和禁止开采区、限制开采区范围的通知》（冀政字〔2022〕59号）要求执行。</w:t>
            </w:r>
          </w:p>
        </w:tc>
      </w:tr>
      <w:tr w14:paraId="270D5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6EF397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04AF8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803429B">
            <w:pPr>
              <w:widowControl/>
              <w:spacing w:line="0" w:lineRule="atLeast"/>
              <w:rPr>
                <w:rFonts w:ascii="仿宋" w:hAnsi="仿宋" w:eastAsia="仿宋" w:cs="仿宋"/>
                <w:bCs/>
                <w:spacing w:val="-10"/>
                <w:kern w:val="0"/>
                <w:sz w:val="24"/>
              </w:rPr>
            </w:pPr>
          </w:p>
        </w:tc>
        <w:tc>
          <w:tcPr>
            <w:tcW w:w="731" w:type="dxa"/>
            <w:vMerge w:val="continue"/>
            <w:noWrap w:val="0"/>
            <w:vAlign w:val="center"/>
          </w:tcPr>
          <w:p w14:paraId="2AEC4795">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1A119AEC">
            <w:pPr>
              <w:widowControl/>
              <w:spacing w:line="0" w:lineRule="atLeast"/>
              <w:jc w:val="center"/>
              <w:rPr>
                <w:rFonts w:ascii="仿宋" w:hAnsi="仿宋" w:eastAsia="仿宋" w:cs="仿宋"/>
                <w:bCs/>
                <w:spacing w:val="-10"/>
                <w:kern w:val="0"/>
                <w:sz w:val="24"/>
              </w:rPr>
            </w:pPr>
          </w:p>
        </w:tc>
        <w:tc>
          <w:tcPr>
            <w:tcW w:w="992" w:type="dxa"/>
            <w:noWrap w:val="0"/>
            <w:vAlign w:val="center"/>
          </w:tcPr>
          <w:p w14:paraId="0BE842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2A13D87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砖瓦行业污染物排放满足《砖瓦工业大气污染物排放标准》（GB2962-2013）及修改单中相应排放限值要求。2.冲天炉、玻璃熔窑、以煤和煤矸石为燃料的砖瓦烧结窑、耐火材料焙烧窑(电窑除外)、炭素焙(煅)烧炉(窑)、石灰窑、和精炼炉等，原则上应纳入重点排污单位名录，安装自动监控设施。3.对涉粉状物料十大行业按照“退后十”方案中相应要求管理。4.工业炉窑污染物排放满足《工业炉窑大气污染物排放标准》 (DB13/1640-2012)和《关于印发〈河北省工业炉窑</w:t>
            </w:r>
            <w:bookmarkStart w:id="8" w:name="_GoBack"/>
            <w:r>
              <w:rPr>
                <w:rFonts w:hint="eastAsia" w:ascii="仿宋" w:hAnsi="仿宋" w:eastAsia="仿宋" w:cs="仿宋"/>
                <w:bCs/>
                <w:spacing w:val="-10"/>
                <w:kern w:val="0"/>
                <w:sz w:val="24"/>
                <w:lang w:eastAsia="zh-CN"/>
              </w:rPr>
              <w:t>综合治理实施方案</w:t>
            </w:r>
            <w:bookmarkEnd w:id="8"/>
            <w:r>
              <w:rPr>
                <w:rFonts w:hint="eastAsia" w:ascii="仿宋" w:hAnsi="仿宋" w:eastAsia="仿宋" w:cs="仿宋"/>
                <w:bCs/>
                <w:spacing w:val="-10"/>
                <w:kern w:val="0"/>
                <w:sz w:val="24"/>
                <w:lang w:eastAsia="zh-CN"/>
              </w:rPr>
              <w:t>〉</w:t>
            </w:r>
            <w:r>
              <w:rPr>
                <w:rFonts w:hint="eastAsia" w:ascii="仿宋" w:hAnsi="仿宋" w:eastAsia="仿宋" w:cs="仿宋"/>
                <w:bCs/>
                <w:spacing w:val="-10"/>
                <w:kern w:val="0"/>
                <w:sz w:val="24"/>
              </w:rPr>
              <w:t>的通知》(冀环大气〔2019〕607号)及“退后十”方案中邯郸限值要求。</w:t>
            </w:r>
          </w:p>
        </w:tc>
      </w:tr>
      <w:tr w14:paraId="33C8B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CC100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58207C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535E6E2">
            <w:pPr>
              <w:widowControl/>
              <w:spacing w:line="0" w:lineRule="atLeast"/>
              <w:rPr>
                <w:rFonts w:ascii="仿宋" w:hAnsi="仿宋" w:eastAsia="仿宋" w:cs="仿宋"/>
                <w:bCs/>
                <w:spacing w:val="-10"/>
                <w:kern w:val="0"/>
                <w:sz w:val="24"/>
              </w:rPr>
            </w:pPr>
          </w:p>
        </w:tc>
        <w:tc>
          <w:tcPr>
            <w:tcW w:w="731" w:type="dxa"/>
            <w:vMerge w:val="continue"/>
            <w:noWrap w:val="0"/>
            <w:vAlign w:val="center"/>
          </w:tcPr>
          <w:p w14:paraId="26ACF20F">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7B446A46">
            <w:pPr>
              <w:widowControl/>
              <w:spacing w:line="0" w:lineRule="atLeast"/>
              <w:jc w:val="center"/>
              <w:rPr>
                <w:rFonts w:ascii="仿宋" w:hAnsi="仿宋" w:eastAsia="仿宋" w:cs="仿宋"/>
                <w:bCs/>
                <w:spacing w:val="-10"/>
                <w:kern w:val="0"/>
                <w:sz w:val="24"/>
              </w:rPr>
            </w:pPr>
          </w:p>
        </w:tc>
        <w:tc>
          <w:tcPr>
            <w:tcW w:w="992" w:type="dxa"/>
            <w:noWrap w:val="0"/>
            <w:vAlign w:val="center"/>
          </w:tcPr>
          <w:p w14:paraId="24654F3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33B1688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23282D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CD9AF9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54C211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F32B335">
            <w:pPr>
              <w:widowControl/>
              <w:spacing w:line="0" w:lineRule="atLeast"/>
              <w:rPr>
                <w:rFonts w:ascii="仿宋" w:hAnsi="仿宋" w:eastAsia="仿宋" w:cs="仿宋"/>
                <w:bCs/>
                <w:spacing w:val="-10"/>
                <w:kern w:val="0"/>
                <w:sz w:val="24"/>
              </w:rPr>
            </w:pPr>
          </w:p>
        </w:tc>
        <w:tc>
          <w:tcPr>
            <w:tcW w:w="731" w:type="dxa"/>
            <w:vMerge w:val="continue"/>
            <w:noWrap w:val="0"/>
            <w:vAlign w:val="center"/>
          </w:tcPr>
          <w:p w14:paraId="08C22AE0">
            <w:pPr>
              <w:widowControl/>
              <w:spacing w:line="0" w:lineRule="atLeast"/>
              <w:jc w:val="center"/>
              <w:rPr>
                <w:rFonts w:ascii="仿宋" w:hAnsi="仿宋" w:eastAsia="仿宋" w:cs="仿宋"/>
                <w:bCs/>
                <w:spacing w:val="-10"/>
                <w:kern w:val="0"/>
                <w:sz w:val="24"/>
              </w:rPr>
            </w:pPr>
          </w:p>
        </w:tc>
        <w:tc>
          <w:tcPr>
            <w:tcW w:w="1112" w:type="dxa"/>
            <w:vMerge w:val="continue"/>
            <w:noWrap w:val="0"/>
            <w:vAlign w:val="center"/>
          </w:tcPr>
          <w:p w14:paraId="390BAEF7">
            <w:pPr>
              <w:widowControl/>
              <w:spacing w:line="0" w:lineRule="atLeast"/>
              <w:jc w:val="center"/>
              <w:rPr>
                <w:rFonts w:ascii="仿宋" w:hAnsi="仿宋" w:eastAsia="仿宋" w:cs="仿宋"/>
                <w:bCs/>
                <w:spacing w:val="-10"/>
                <w:kern w:val="0"/>
                <w:sz w:val="24"/>
              </w:rPr>
            </w:pPr>
          </w:p>
        </w:tc>
        <w:tc>
          <w:tcPr>
            <w:tcW w:w="992" w:type="dxa"/>
            <w:noWrap w:val="0"/>
            <w:vAlign w:val="center"/>
          </w:tcPr>
          <w:p w14:paraId="6160D6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208C66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地下水开发利用应当以浅层地下水为主。深层地下水作为战略储备水源、应急供水水源、无替代水源地区的居民生活水源，应当严格限制开采。</w:t>
            </w:r>
          </w:p>
        </w:tc>
      </w:tr>
    </w:tbl>
    <w:p w14:paraId="51E3864A">
      <w:pPr>
        <w:pStyle w:val="10"/>
        <w:numPr>
          <w:ilvl w:val="1"/>
          <w:numId w:val="0"/>
        </w:numPr>
        <w:spacing w:before="240"/>
        <w:jc w:val="left"/>
        <w:rPr>
          <w:rFonts w:ascii="仿宋" w:hAnsi="仿宋" w:eastAsia="仿宋" w:cs="仿宋"/>
          <w:b/>
          <w:sz w:val="28"/>
          <w:szCs w:val="18"/>
        </w:rPr>
      </w:pPr>
    </w:p>
    <w:p w14:paraId="46C92401">
      <w:pPr>
        <w:pStyle w:val="10"/>
        <w:numPr>
          <w:ilvl w:val="1"/>
          <w:numId w:val="0"/>
        </w:numPr>
        <w:spacing w:beforeLines="50"/>
        <w:ind w:firstLine="420" w:firstLineChars="200"/>
        <w:outlineLvl w:val="1"/>
        <w:rPr>
          <w:rFonts w:ascii="仿宋" w:hAnsi="仿宋" w:eastAsia="仿宋" w:cs="仿宋"/>
        </w:rPr>
      </w:pPr>
      <w:r>
        <w:rPr>
          <w:rFonts w:hint="eastAsia" w:ascii="仿宋" w:hAnsi="仿宋" w:eastAsia="仿宋" w:cs="仿宋"/>
        </w:rPr>
        <w:br w:type="page"/>
      </w:r>
      <w:r>
        <w:rPr>
          <w:rFonts w:hint="eastAsia" w:ascii="仿宋" w:hAnsi="仿宋" w:eastAsia="仿宋" w:cs="仿宋"/>
          <w:bCs/>
          <w:sz w:val="32"/>
          <w:szCs w:val="32"/>
        </w:rPr>
        <w:t>（八）成安县生态环境准入清单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885"/>
        <w:gridCol w:w="675"/>
        <w:gridCol w:w="1134"/>
        <w:gridCol w:w="992"/>
        <w:gridCol w:w="4053"/>
      </w:tblGrid>
      <w:tr w14:paraId="2FBAC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273531B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1C420A1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885" w:type="dxa"/>
            <w:shd w:val="clear" w:color="auto" w:fill="D7D7D7"/>
            <w:noWrap w:val="0"/>
            <w:vAlign w:val="center"/>
          </w:tcPr>
          <w:p w14:paraId="5E29A5C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675" w:type="dxa"/>
            <w:shd w:val="clear" w:color="auto" w:fill="D7D7D7"/>
            <w:noWrap w:val="0"/>
            <w:vAlign w:val="center"/>
          </w:tcPr>
          <w:p w14:paraId="2E80EB8B">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1134" w:type="dxa"/>
            <w:shd w:val="clear" w:color="auto" w:fill="D7D7D7"/>
            <w:noWrap w:val="0"/>
            <w:vAlign w:val="center"/>
          </w:tcPr>
          <w:p w14:paraId="0E303BF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992" w:type="dxa"/>
            <w:shd w:val="clear" w:color="auto" w:fill="D7D7D7"/>
            <w:noWrap w:val="0"/>
            <w:vAlign w:val="center"/>
          </w:tcPr>
          <w:p w14:paraId="511AB3D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053" w:type="dxa"/>
            <w:shd w:val="clear" w:color="auto" w:fill="D7D7D7"/>
            <w:noWrap w:val="0"/>
            <w:vAlign w:val="center"/>
          </w:tcPr>
          <w:p w14:paraId="5886C7E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56352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C87A6B2">
            <w:pPr>
              <w:widowControl/>
              <w:spacing w:line="0" w:lineRule="atLeast"/>
              <w:jc w:val="center"/>
              <w:rPr>
                <w:rFonts w:ascii="仿宋" w:hAnsi="仿宋" w:eastAsia="仿宋" w:cs="仿宋"/>
                <w:bCs/>
                <w:spacing w:val="-10"/>
                <w:kern w:val="0"/>
                <w:sz w:val="24"/>
              </w:rPr>
            </w:pPr>
            <w:bookmarkStart w:id="7" w:name="OLE_LINK1" w:colFirst="6" w:colLast="6"/>
            <w:r>
              <w:rPr>
                <w:rFonts w:hint="eastAsia" w:ascii="仿宋" w:hAnsi="仿宋" w:eastAsia="仿宋" w:cs="仿宋"/>
                <w:bCs/>
                <w:spacing w:val="-10"/>
                <w:kern w:val="0"/>
                <w:sz w:val="24"/>
              </w:rPr>
              <w:t>ZH13042410074</w:t>
            </w:r>
          </w:p>
        </w:tc>
        <w:tc>
          <w:tcPr>
            <w:tcW w:w="567" w:type="dxa"/>
            <w:vMerge w:val="restart"/>
            <w:noWrap w:val="0"/>
            <w:vAlign w:val="center"/>
          </w:tcPr>
          <w:p w14:paraId="5BFF69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67BDBFF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李家町镇、漳河店镇</w:t>
            </w:r>
          </w:p>
        </w:tc>
        <w:tc>
          <w:tcPr>
            <w:tcW w:w="675" w:type="dxa"/>
            <w:vMerge w:val="restart"/>
            <w:noWrap w:val="0"/>
            <w:vAlign w:val="center"/>
          </w:tcPr>
          <w:p w14:paraId="7925CE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1134" w:type="dxa"/>
            <w:vMerge w:val="restart"/>
            <w:noWrap w:val="0"/>
            <w:vAlign w:val="center"/>
          </w:tcPr>
          <w:p w14:paraId="4FC416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992" w:type="dxa"/>
            <w:noWrap w:val="0"/>
            <w:vAlign w:val="center"/>
          </w:tcPr>
          <w:p w14:paraId="376D77A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2B9ECD0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w:t>
            </w:r>
          </w:p>
        </w:tc>
      </w:tr>
      <w:tr w14:paraId="3EEC0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7FBB0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83C08D4">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6C8328A">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65C0C12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E157A09">
            <w:pPr>
              <w:widowControl/>
              <w:spacing w:line="0" w:lineRule="atLeast"/>
              <w:jc w:val="center"/>
              <w:rPr>
                <w:rFonts w:ascii="仿宋" w:hAnsi="仿宋" w:eastAsia="仿宋" w:cs="仿宋"/>
                <w:bCs/>
                <w:spacing w:val="-10"/>
                <w:kern w:val="0"/>
                <w:sz w:val="24"/>
              </w:rPr>
            </w:pPr>
          </w:p>
        </w:tc>
        <w:tc>
          <w:tcPr>
            <w:tcW w:w="992" w:type="dxa"/>
            <w:noWrap w:val="0"/>
            <w:vAlign w:val="center"/>
          </w:tcPr>
          <w:p w14:paraId="1F39929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5398A2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2FF1F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35485F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C53D3A2">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F36E6FC">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0142E54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BF6977B">
            <w:pPr>
              <w:widowControl/>
              <w:spacing w:line="0" w:lineRule="atLeast"/>
              <w:jc w:val="center"/>
              <w:rPr>
                <w:rFonts w:ascii="仿宋" w:hAnsi="仿宋" w:eastAsia="仿宋" w:cs="仿宋"/>
                <w:bCs/>
                <w:spacing w:val="-10"/>
                <w:kern w:val="0"/>
                <w:sz w:val="24"/>
              </w:rPr>
            </w:pPr>
          </w:p>
        </w:tc>
        <w:tc>
          <w:tcPr>
            <w:tcW w:w="992" w:type="dxa"/>
            <w:noWrap w:val="0"/>
            <w:vAlign w:val="center"/>
          </w:tcPr>
          <w:p w14:paraId="4C5D1E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EE4CC1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2843A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EC48A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A85A11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9266BB8">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5185DA5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D9EAC4A">
            <w:pPr>
              <w:widowControl/>
              <w:spacing w:line="0" w:lineRule="atLeast"/>
              <w:jc w:val="center"/>
              <w:rPr>
                <w:rFonts w:ascii="仿宋" w:hAnsi="仿宋" w:eastAsia="仿宋" w:cs="仿宋"/>
                <w:bCs/>
                <w:spacing w:val="-10"/>
                <w:kern w:val="0"/>
                <w:sz w:val="24"/>
              </w:rPr>
            </w:pPr>
          </w:p>
        </w:tc>
        <w:tc>
          <w:tcPr>
            <w:tcW w:w="992" w:type="dxa"/>
            <w:noWrap w:val="0"/>
            <w:vAlign w:val="center"/>
          </w:tcPr>
          <w:p w14:paraId="75BE91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C09AA0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bookmarkEnd w:id="7"/>
      <w:tr w14:paraId="1A718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5E6B75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ZH13042420075</w:t>
            </w:r>
          </w:p>
        </w:tc>
        <w:tc>
          <w:tcPr>
            <w:tcW w:w="567" w:type="dxa"/>
            <w:vMerge w:val="restart"/>
            <w:noWrap w:val="0"/>
            <w:vAlign w:val="center"/>
          </w:tcPr>
          <w:p w14:paraId="4E2E0A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4A56FCC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成安镇、道东堡镇、商城镇、长巷乡</w:t>
            </w:r>
          </w:p>
        </w:tc>
        <w:tc>
          <w:tcPr>
            <w:tcW w:w="675" w:type="dxa"/>
            <w:vMerge w:val="restart"/>
            <w:noWrap w:val="0"/>
            <w:vAlign w:val="center"/>
          </w:tcPr>
          <w:p w14:paraId="5EF7A57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34" w:type="dxa"/>
            <w:vMerge w:val="restart"/>
            <w:noWrap w:val="0"/>
            <w:vAlign w:val="center"/>
          </w:tcPr>
          <w:p w14:paraId="775D2AC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大气环境高排放重点管控区、水环境工业污染重点管控区、成安经济开发区、地下水开采重点管控区、高污染燃料禁燃区</w:t>
            </w:r>
          </w:p>
        </w:tc>
        <w:tc>
          <w:tcPr>
            <w:tcW w:w="992" w:type="dxa"/>
            <w:noWrap w:val="0"/>
            <w:vAlign w:val="center"/>
          </w:tcPr>
          <w:p w14:paraId="4FB6495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ABA3ED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化工企业不得新增三类工业用地面积，仅限于在现有用地范围内进行各种生产活动，同时进一步提高污染治理水平和清洁生产水平。规范扩大仓储用地和安全距离。</w:t>
            </w:r>
          </w:p>
        </w:tc>
      </w:tr>
      <w:tr w14:paraId="78ECB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06" w:hRule="atLeast"/>
          <w:jc w:val="center"/>
        </w:trPr>
        <w:tc>
          <w:tcPr>
            <w:tcW w:w="595" w:type="dxa"/>
            <w:vMerge w:val="continue"/>
            <w:noWrap w:val="0"/>
            <w:vAlign w:val="center"/>
          </w:tcPr>
          <w:p w14:paraId="7A466D3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95BE4A2">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558B611">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6D5CD5A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27691B9">
            <w:pPr>
              <w:widowControl/>
              <w:spacing w:line="0" w:lineRule="atLeast"/>
              <w:jc w:val="center"/>
              <w:rPr>
                <w:rFonts w:ascii="仿宋" w:hAnsi="仿宋" w:eastAsia="仿宋" w:cs="仿宋"/>
                <w:bCs/>
                <w:spacing w:val="-10"/>
                <w:kern w:val="0"/>
                <w:sz w:val="24"/>
              </w:rPr>
            </w:pPr>
          </w:p>
        </w:tc>
        <w:tc>
          <w:tcPr>
            <w:tcW w:w="992" w:type="dxa"/>
            <w:noWrap w:val="0"/>
            <w:vAlign w:val="center"/>
          </w:tcPr>
          <w:p w14:paraId="2DA3425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62CC866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应加强区域农业污染源治理，减少化肥施用，强化该区域农村生活污水治理，对于不在污水处理厂收水范围的农村，可采用化粪池、氧化塘的形式对生活污水进行处理。另外，加快中水管网铺设进度，加大中水回用率，减少废水排放，最大限度的降低对团结东干渠的影响。</w:t>
            </w:r>
          </w:p>
        </w:tc>
      </w:tr>
      <w:tr w14:paraId="25F43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19" w:hRule="atLeast"/>
          <w:jc w:val="center"/>
        </w:trPr>
        <w:tc>
          <w:tcPr>
            <w:tcW w:w="595" w:type="dxa"/>
            <w:vMerge w:val="continue"/>
            <w:noWrap w:val="0"/>
            <w:vAlign w:val="center"/>
          </w:tcPr>
          <w:p w14:paraId="3FA4EC3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615432B">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B8A46F3">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5744C89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D142171">
            <w:pPr>
              <w:widowControl/>
              <w:spacing w:line="0" w:lineRule="atLeast"/>
              <w:jc w:val="center"/>
              <w:rPr>
                <w:rFonts w:ascii="仿宋" w:hAnsi="仿宋" w:eastAsia="仿宋" w:cs="仿宋"/>
                <w:bCs/>
                <w:spacing w:val="-10"/>
                <w:kern w:val="0"/>
                <w:sz w:val="24"/>
              </w:rPr>
            </w:pPr>
          </w:p>
        </w:tc>
        <w:tc>
          <w:tcPr>
            <w:tcW w:w="992" w:type="dxa"/>
            <w:noWrap w:val="0"/>
            <w:vAlign w:val="center"/>
          </w:tcPr>
          <w:p w14:paraId="25930D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6809578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严格落实环境减缓措施、环境敏感点防护措施和环境风险防范措施，确保周围环境安全和公众健康不受影响。工业聚集区特别是工业用地要采取严格的防渗漏措施，避免废水（液）对地下水造成污染。</w:t>
            </w:r>
          </w:p>
        </w:tc>
      </w:tr>
      <w:tr w14:paraId="2771FE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57" w:hRule="atLeast"/>
          <w:jc w:val="center"/>
        </w:trPr>
        <w:tc>
          <w:tcPr>
            <w:tcW w:w="595" w:type="dxa"/>
            <w:vMerge w:val="continue"/>
            <w:noWrap w:val="0"/>
            <w:vAlign w:val="center"/>
          </w:tcPr>
          <w:p w14:paraId="7446413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2E2C058">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DD22A75">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2FEB12D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894EB4A">
            <w:pPr>
              <w:widowControl/>
              <w:spacing w:line="0" w:lineRule="atLeast"/>
              <w:jc w:val="center"/>
              <w:rPr>
                <w:rFonts w:ascii="仿宋" w:hAnsi="仿宋" w:eastAsia="仿宋" w:cs="仿宋"/>
                <w:bCs/>
                <w:spacing w:val="-10"/>
                <w:kern w:val="0"/>
                <w:sz w:val="24"/>
              </w:rPr>
            </w:pPr>
          </w:p>
        </w:tc>
        <w:tc>
          <w:tcPr>
            <w:tcW w:w="992" w:type="dxa"/>
            <w:noWrap w:val="0"/>
            <w:vAlign w:val="center"/>
          </w:tcPr>
          <w:p w14:paraId="3FA6E7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FFAA44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1.加强管理，在开发区各企业全面推行清洁生产审核，运用清洁生产技术和工艺进行改造以削减排污总量，鼓励企业积极的进行清洁生产审核。2.禁燃区内严格按照相应的高污染燃料禁燃区的通告要求执行。</w:t>
            </w:r>
          </w:p>
        </w:tc>
      </w:tr>
      <w:tr w14:paraId="7324C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83" w:hRule="atLeast"/>
          <w:jc w:val="center"/>
        </w:trPr>
        <w:tc>
          <w:tcPr>
            <w:tcW w:w="595" w:type="dxa"/>
            <w:vMerge w:val="restart"/>
            <w:noWrap w:val="0"/>
            <w:vAlign w:val="center"/>
          </w:tcPr>
          <w:p w14:paraId="744D9F1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ZH13042420076</w:t>
            </w:r>
          </w:p>
        </w:tc>
        <w:tc>
          <w:tcPr>
            <w:tcW w:w="567" w:type="dxa"/>
            <w:vMerge w:val="restart"/>
            <w:noWrap w:val="0"/>
            <w:vAlign w:val="center"/>
          </w:tcPr>
          <w:p w14:paraId="52E6BF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2348B7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商城镇、辛庄营乡、长巷乡</w:t>
            </w:r>
          </w:p>
        </w:tc>
        <w:tc>
          <w:tcPr>
            <w:tcW w:w="675" w:type="dxa"/>
            <w:vMerge w:val="restart"/>
            <w:noWrap w:val="0"/>
            <w:vAlign w:val="center"/>
          </w:tcPr>
          <w:p w14:paraId="4E5CD8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34" w:type="dxa"/>
            <w:vMerge w:val="restart"/>
            <w:noWrap w:val="0"/>
            <w:vAlign w:val="center"/>
          </w:tcPr>
          <w:p w14:paraId="6BE63E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大气环境受体敏感重点管控区、水环境城镇生活污染重点管控区、高污染燃料禁燃区</w:t>
            </w:r>
          </w:p>
        </w:tc>
        <w:tc>
          <w:tcPr>
            <w:tcW w:w="992" w:type="dxa"/>
            <w:noWrap w:val="0"/>
            <w:vAlign w:val="center"/>
          </w:tcPr>
          <w:p w14:paraId="2C1A58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79A4C5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1.项目建设应考虑对周边敏感区的环境影响。2.全省范围内限制新建和扩建钢压延加工(冷加工、增加品种及等量置换除外)。</w:t>
            </w:r>
          </w:p>
        </w:tc>
      </w:tr>
      <w:tr w14:paraId="22EEC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8" w:hRule="atLeast"/>
          <w:jc w:val="center"/>
        </w:trPr>
        <w:tc>
          <w:tcPr>
            <w:tcW w:w="595" w:type="dxa"/>
            <w:vMerge w:val="continue"/>
            <w:noWrap w:val="0"/>
            <w:vAlign w:val="center"/>
          </w:tcPr>
          <w:p w14:paraId="6337099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C2E5E74">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D26FAF5">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05306E3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AE61373">
            <w:pPr>
              <w:widowControl/>
              <w:spacing w:line="0" w:lineRule="atLeast"/>
              <w:jc w:val="center"/>
              <w:rPr>
                <w:rFonts w:ascii="仿宋" w:hAnsi="仿宋" w:eastAsia="仿宋" w:cs="仿宋"/>
                <w:bCs/>
                <w:spacing w:val="-10"/>
                <w:kern w:val="0"/>
                <w:sz w:val="24"/>
              </w:rPr>
            </w:pPr>
          </w:p>
        </w:tc>
        <w:tc>
          <w:tcPr>
            <w:tcW w:w="992" w:type="dxa"/>
            <w:noWrap w:val="0"/>
            <w:vAlign w:val="center"/>
          </w:tcPr>
          <w:p w14:paraId="55D4E10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4AFE0E8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1.轧钢加热炉和热处理炉采用低氮燃烧技术，冷轧酸雾、油雾和有机废气采取净化措施。2.加强轧钢涂层VOCs治理，现有轧钢企业VOCs排放执行《轧钢工业大气污染物排放标准》（GB28665-2012）特别排放限值。</w:t>
            </w:r>
            <w:r>
              <w:rPr>
                <w:rFonts w:hint="eastAsia" w:ascii="仿宋" w:hAnsi="仿宋" w:eastAsia="仿宋" w:cs="仿宋"/>
                <w:spacing w:val="-10"/>
                <w:sz w:val="24"/>
              </w:rPr>
              <w:t>3.工业炉窑污染物排放满足《工业炉窑大气污染物排放标准》(DB13/1640-2012)和《关于印发〈河北省工业炉窑</w:t>
            </w:r>
            <w:r>
              <w:rPr>
                <w:rFonts w:hint="eastAsia" w:ascii="仿宋" w:hAnsi="仿宋" w:eastAsia="仿宋" w:cs="仿宋"/>
                <w:spacing w:val="-10"/>
                <w:sz w:val="24"/>
                <w:lang w:eastAsia="zh-CN"/>
              </w:rPr>
              <w:t>综合治理实施方案〉</w:t>
            </w:r>
            <w:r>
              <w:rPr>
                <w:rFonts w:hint="eastAsia" w:ascii="仿宋" w:hAnsi="仿宋" w:eastAsia="仿宋" w:cs="仿宋"/>
                <w:spacing w:val="-10"/>
                <w:sz w:val="24"/>
              </w:rPr>
              <w:t>的通知》(冀环大气〔2019〕607号)及“退后十”方案中邯郸限值要求。</w:t>
            </w:r>
            <w:r>
              <w:rPr>
                <w:rFonts w:hint="eastAsia" w:ascii="仿宋" w:hAnsi="仿宋" w:eastAsia="仿宋" w:cs="仿宋"/>
                <w:bCs/>
                <w:spacing w:val="-10"/>
                <w:kern w:val="0"/>
                <w:sz w:val="24"/>
              </w:rPr>
              <w:t>4.现有及新（改、扩）建向环境水体直接排放污水的排污单位满足《子牙河流域水污染物排放标准》（DB13/2796-2018)相应排放限值要求。</w:t>
            </w:r>
          </w:p>
        </w:tc>
      </w:tr>
      <w:tr w14:paraId="0E096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13" w:hRule="atLeast"/>
          <w:jc w:val="center"/>
        </w:trPr>
        <w:tc>
          <w:tcPr>
            <w:tcW w:w="595" w:type="dxa"/>
            <w:vMerge w:val="continue"/>
            <w:noWrap w:val="0"/>
            <w:vAlign w:val="center"/>
          </w:tcPr>
          <w:p w14:paraId="3143A39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C37ED29">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253281F">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7EB0B88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228C109">
            <w:pPr>
              <w:widowControl/>
              <w:spacing w:line="0" w:lineRule="atLeast"/>
              <w:jc w:val="center"/>
              <w:rPr>
                <w:rFonts w:ascii="仿宋" w:hAnsi="仿宋" w:eastAsia="仿宋" w:cs="仿宋"/>
                <w:bCs/>
                <w:spacing w:val="-10"/>
                <w:kern w:val="0"/>
                <w:sz w:val="24"/>
              </w:rPr>
            </w:pPr>
          </w:p>
        </w:tc>
        <w:tc>
          <w:tcPr>
            <w:tcW w:w="992" w:type="dxa"/>
            <w:noWrap w:val="0"/>
            <w:vAlign w:val="center"/>
          </w:tcPr>
          <w:p w14:paraId="442AAA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ECAA7E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3E90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47" w:hRule="atLeast"/>
          <w:jc w:val="center"/>
        </w:trPr>
        <w:tc>
          <w:tcPr>
            <w:tcW w:w="595" w:type="dxa"/>
            <w:vMerge w:val="continue"/>
            <w:noWrap w:val="0"/>
            <w:vAlign w:val="center"/>
          </w:tcPr>
          <w:p w14:paraId="4867421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F6E14F">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39655A7">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74801CE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1874B44">
            <w:pPr>
              <w:widowControl/>
              <w:spacing w:line="0" w:lineRule="atLeast"/>
              <w:jc w:val="center"/>
              <w:rPr>
                <w:rFonts w:ascii="仿宋" w:hAnsi="仿宋" w:eastAsia="仿宋" w:cs="仿宋"/>
                <w:bCs/>
                <w:spacing w:val="-10"/>
                <w:kern w:val="0"/>
                <w:sz w:val="24"/>
              </w:rPr>
            </w:pPr>
          </w:p>
        </w:tc>
        <w:tc>
          <w:tcPr>
            <w:tcW w:w="992" w:type="dxa"/>
            <w:noWrap w:val="0"/>
            <w:vAlign w:val="center"/>
          </w:tcPr>
          <w:p w14:paraId="5C87B5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4A6E37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1.钢压延加工业应采用资源利用率高、污染物产生量小的清洁生产技术、工艺和设备，项目单位产品能耗达到国际先进水平。2.禁燃区内严格按照相应的高污染燃料禁燃区的通告要求执行。</w:t>
            </w:r>
          </w:p>
        </w:tc>
      </w:tr>
      <w:tr w14:paraId="6675F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53" w:hRule="atLeast"/>
          <w:jc w:val="center"/>
        </w:trPr>
        <w:tc>
          <w:tcPr>
            <w:tcW w:w="595" w:type="dxa"/>
            <w:vMerge w:val="restart"/>
            <w:noWrap w:val="0"/>
            <w:vAlign w:val="center"/>
          </w:tcPr>
          <w:p w14:paraId="04D00A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ZH13042420077</w:t>
            </w:r>
          </w:p>
        </w:tc>
        <w:tc>
          <w:tcPr>
            <w:tcW w:w="567" w:type="dxa"/>
            <w:vMerge w:val="restart"/>
            <w:noWrap w:val="0"/>
            <w:vAlign w:val="center"/>
          </w:tcPr>
          <w:p w14:paraId="57B5A3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763DA11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成安镇、道东堡镇</w:t>
            </w:r>
          </w:p>
        </w:tc>
        <w:tc>
          <w:tcPr>
            <w:tcW w:w="675" w:type="dxa"/>
            <w:vMerge w:val="restart"/>
            <w:noWrap w:val="0"/>
            <w:vAlign w:val="center"/>
          </w:tcPr>
          <w:p w14:paraId="16F28D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34" w:type="dxa"/>
            <w:vMerge w:val="restart"/>
            <w:noWrap w:val="0"/>
            <w:vAlign w:val="center"/>
          </w:tcPr>
          <w:p w14:paraId="1F4142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大气环境受体敏感重点管控区、水环境城镇生活污染重点管控区、地下水开采重点管控区</w:t>
            </w:r>
          </w:p>
        </w:tc>
        <w:tc>
          <w:tcPr>
            <w:tcW w:w="992" w:type="dxa"/>
            <w:noWrap w:val="0"/>
            <w:vAlign w:val="center"/>
          </w:tcPr>
          <w:p w14:paraId="3F4C3E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70955F3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全省范围内限制新建和扩建钢压延加工(冷加工、增加品种及等量置换除外)。3.严格地下水管理，地下水禁采区和地下水限采区内按照《河北省人民政府关于公布地下水超采区和禁止开采区、限制开采区范围的通知》（冀政字〔2022〕59号）要求执行。</w:t>
            </w:r>
          </w:p>
        </w:tc>
      </w:tr>
      <w:tr w14:paraId="4AEA9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A44B1A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8574AD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42218F0">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1FC66DF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DA198E9">
            <w:pPr>
              <w:widowControl/>
              <w:spacing w:line="0" w:lineRule="atLeast"/>
              <w:jc w:val="center"/>
              <w:rPr>
                <w:rFonts w:ascii="仿宋" w:hAnsi="仿宋" w:eastAsia="仿宋" w:cs="仿宋"/>
                <w:bCs/>
                <w:spacing w:val="-10"/>
                <w:kern w:val="0"/>
                <w:sz w:val="24"/>
              </w:rPr>
            </w:pPr>
          </w:p>
        </w:tc>
        <w:tc>
          <w:tcPr>
            <w:tcW w:w="992" w:type="dxa"/>
            <w:noWrap w:val="0"/>
            <w:vAlign w:val="center"/>
          </w:tcPr>
          <w:p w14:paraId="12D4CA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0C9C330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1.轧钢加热炉和热处理炉采用低氮燃烧技术，冷轧酸雾、油雾和有机废气采取净化措施。2.加强轧钢涂层VOCs治理，现有轧钢企业VOCs排放执行《轧钢工业大气污染物排放标准》（GB28665-2012）特别排放限值。</w:t>
            </w:r>
            <w:r>
              <w:rPr>
                <w:rFonts w:hint="eastAsia" w:ascii="仿宋" w:hAnsi="仿宋" w:eastAsia="仿宋" w:cs="仿宋"/>
                <w:spacing w:val="-10"/>
                <w:sz w:val="24"/>
              </w:rPr>
              <w:t>3.工业炉窑污染物排放满足《工业炉窑大气污染物排放标准》(DB13/1640-2012)和《关于印发〈河北省工业炉窑</w:t>
            </w:r>
            <w:r>
              <w:rPr>
                <w:rFonts w:hint="eastAsia" w:ascii="仿宋" w:hAnsi="仿宋" w:eastAsia="仿宋" w:cs="仿宋"/>
                <w:spacing w:val="-10"/>
                <w:sz w:val="24"/>
                <w:lang w:eastAsia="zh-CN"/>
              </w:rPr>
              <w:t>综合治理实施方案〉</w:t>
            </w:r>
            <w:r>
              <w:rPr>
                <w:rFonts w:hint="eastAsia" w:ascii="仿宋" w:hAnsi="仿宋" w:eastAsia="仿宋" w:cs="仿宋"/>
                <w:spacing w:val="-10"/>
                <w:sz w:val="24"/>
              </w:rPr>
              <w:t>的通知》(冀环大气〔2019〕607号)及“退后十”方案中邯郸限值要求。</w:t>
            </w:r>
            <w:r>
              <w:rPr>
                <w:rFonts w:hint="eastAsia" w:ascii="仿宋" w:hAnsi="仿宋" w:eastAsia="仿宋" w:cs="仿宋"/>
                <w:bCs/>
                <w:spacing w:val="-10"/>
                <w:kern w:val="0"/>
                <w:sz w:val="24"/>
              </w:rPr>
              <w:t>4.现有及新（改、扩）建向环境水体直接排放污水的排污单位满足《子牙河流域水污染物排放标准》（DB13/2796-2018)相应排放限值要求。</w:t>
            </w:r>
          </w:p>
        </w:tc>
      </w:tr>
      <w:tr w14:paraId="784A7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C5CBFD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8B141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7F4B656">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5D5A0BF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29F40E6">
            <w:pPr>
              <w:widowControl/>
              <w:spacing w:line="0" w:lineRule="atLeast"/>
              <w:jc w:val="center"/>
              <w:rPr>
                <w:rFonts w:ascii="仿宋" w:hAnsi="仿宋" w:eastAsia="仿宋" w:cs="仿宋"/>
                <w:bCs/>
                <w:spacing w:val="-10"/>
                <w:kern w:val="0"/>
                <w:sz w:val="24"/>
              </w:rPr>
            </w:pPr>
          </w:p>
        </w:tc>
        <w:tc>
          <w:tcPr>
            <w:tcW w:w="992" w:type="dxa"/>
            <w:noWrap w:val="0"/>
            <w:vAlign w:val="center"/>
          </w:tcPr>
          <w:p w14:paraId="500EFC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98EB0D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9887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FE6AEB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AA3421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7D8AD2D">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2EF9C7F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85B70BB">
            <w:pPr>
              <w:widowControl/>
              <w:spacing w:line="0" w:lineRule="atLeast"/>
              <w:jc w:val="center"/>
              <w:rPr>
                <w:rFonts w:ascii="仿宋" w:hAnsi="仿宋" w:eastAsia="仿宋" w:cs="仿宋"/>
                <w:bCs/>
                <w:spacing w:val="-10"/>
                <w:kern w:val="0"/>
                <w:sz w:val="24"/>
              </w:rPr>
            </w:pPr>
          </w:p>
        </w:tc>
        <w:tc>
          <w:tcPr>
            <w:tcW w:w="992" w:type="dxa"/>
            <w:noWrap w:val="0"/>
            <w:vAlign w:val="center"/>
          </w:tcPr>
          <w:p w14:paraId="0A1E67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0D88D81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钢压延加工业应采用资源利用率高、污染物产生量小的清洁生产技术、工艺和设备，项目单位产品能耗达到国际先进水平。2.地下水开发利用应当以浅层地下水为主。深层地下水作为战略储备水源、应急供水水源、无替代水源地区的居民生活水源，应当严格限制开采。</w:t>
            </w:r>
          </w:p>
        </w:tc>
      </w:tr>
      <w:tr w14:paraId="0ED0A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FF2AF2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ZH13042420078</w:t>
            </w:r>
          </w:p>
        </w:tc>
        <w:tc>
          <w:tcPr>
            <w:tcW w:w="567" w:type="dxa"/>
            <w:vMerge w:val="restart"/>
            <w:noWrap w:val="0"/>
            <w:vAlign w:val="center"/>
          </w:tcPr>
          <w:p w14:paraId="6AA6312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2FFE67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成安镇、道东堡镇</w:t>
            </w:r>
          </w:p>
        </w:tc>
        <w:tc>
          <w:tcPr>
            <w:tcW w:w="675" w:type="dxa"/>
            <w:vMerge w:val="restart"/>
            <w:noWrap w:val="0"/>
            <w:vAlign w:val="center"/>
          </w:tcPr>
          <w:p w14:paraId="579A8EB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34" w:type="dxa"/>
            <w:vMerge w:val="restart"/>
            <w:noWrap w:val="0"/>
            <w:vAlign w:val="center"/>
          </w:tcPr>
          <w:p w14:paraId="53FF7A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大气环境受体敏感重点管控区、水环境城镇生活污染重点管控区、地下水开采重点管控区</w:t>
            </w:r>
          </w:p>
        </w:tc>
        <w:tc>
          <w:tcPr>
            <w:tcW w:w="992" w:type="dxa"/>
            <w:noWrap w:val="0"/>
            <w:vAlign w:val="center"/>
          </w:tcPr>
          <w:p w14:paraId="324B78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3ADA10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新（改、扩）建石墨项目必须符合国家产业政策和当地发展规划、土地利用总体规划等规定，统筹资源、能源、环境、安全和市场等因素合理布局。3.严格地下水管理，地下水禁采区和地下水限采区内按照《河北省人民政府关于公布地下水超采区和禁止开采区、限制开采区范围的通知》（冀政字〔2022〕59号）要求执行。</w:t>
            </w:r>
          </w:p>
        </w:tc>
      </w:tr>
      <w:tr w14:paraId="1A079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D9EC98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8BE5F70">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004548A">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236F76E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6584CAD">
            <w:pPr>
              <w:widowControl/>
              <w:spacing w:line="0" w:lineRule="atLeast"/>
              <w:jc w:val="center"/>
              <w:rPr>
                <w:rFonts w:ascii="仿宋" w:hAnsi="仿宋" w:eastAsia="仿宋" w:cs="仿宋"/>
                <w:bCs/>
                <w:spacing w:val="-10"/>
                <w:kern w:val="0"/>
                <w:sz w:val="24"/>
              </w:rPr>
            </w:pPr>
          </w:p>
        </w:tc>
        <w:tc>
          <w:tcPr>
            <w:tcW w:w="992" w:type="dxa"/>
            <w:noWrap w:val="0"/>
            <w:vAlign w:val="center"/>
          </w:tcPr>
          <w:p w14:paraId="48211E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top"/>
          </w:tcPr>
          <w:p w14:paraId="29C781E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w:t>
            </w:r>
            <w:r>
              <w:rPr>
                <w:rFonts w:hint="eastAsia" w:ascii="仿宋" w:hAnsi="仿宋" w:eastAsia="仿宋" w:cs="仿宋"/>
                <w:spacing w:val="-10"/>
                <w:sz w:val="24"/>
              </w:rPr>
              <w:t>工业炉窑污染物排放满足《工业炉窑大气污染物排放标准》(DB13/1640-2012)和《关于印发〈河北省工业炉窑</w:t>
            </w:r>
            <w:r>
              <w:rPr>
                <w:rFonts w:hint="eastAsia" w:ascii="仿宋" w:hAnsi="仿宋" w:eastAsia="仿宋" w:cs="仿宋"/>
                <w:spacing w:val="-10"/>
                <w:sz w:val="24"/>
                <w:lang w:eastAsia="zh-CN"/>
              </w:rPr>
              <w:t>综合治理实施方案〉</w:t>
            </w:r>
            <w:r>
              <w:rPr>
                <w:rFonts w:hint="eastAsia" w:ascii="仿宋" w:hAnsi="仿宋" w:eastAsia="仿宋" w:cs="仿宋"/>
                <w:spacing w:val="-10"/>
                <w:sz w:val="24"/>
              </w:rPr>
              <w:t>的通知》(冀环大气〔2019〕607号)及“退后十”方案中邯郸限值要求。2.炭素行业参照执行《铝工业污染物排放标准》(GB25465-2010)及修改单大气污染物特别排放限值。3.冲天炉、玻璃熔窑、以煤和煤矸石为燃料的砖瓦烧结窑、耐火材料焙烧窑(电窑除外)、炭素焙(煅)烧炉(窑)、石灰窑、和精炼炉等，原则上应纳入重点排污单位名录，安装自动监控设施。</w:t>
            </w:r>
            <w:r>
              <w:rPr>
                <w:rFonts w:hint="eastAsia" w:ascii="仿宋" w:hAnsi="仿宋" w:eastAsia="仿宋" w:cs="仿宋"/>
                <w:bCs/>
                <w:spacing w:val="-10"/>
                <w:kern w:val="0"/>
                <w:sz w:val="24"/>
              </w:rPr>
              <w:t>4.现有及新（改、扩）建向环境水体直接排放污水的排污单位满足《子牙河流域水污染物排放标准》（DB13/2796-2018)相应排放限值要求。</w:t>
            </w:r>
          </w:p>
        </w:tc>
      </w:tr>
      <w:tr w14:paraId="2A5921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B993A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B4B6FC2">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3733745E">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7980145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13317B1">
            <w:pPr>
              <w:widowControl/>
              <w:spacing w:line="0" w:lineRule="atLeast"/>
              <w:jc w:val="center"/>
              <w:rPr>
                <w:rFonts w:ascii="仿宋" w:hAnsi="仿宋" w:eastAsia="仿宋" w:cs="仿宋"/>
                <w:bCs/>
                <w:spacing w:val="-10"/>
                <w:kern w:val="0"/>
                <w:sz w:val="24"/>
              </w:rPr>
            </w:pPr>
          </w:p>
        </w:tc>
        <w:tc>
          <w:tcPr>
            <w:tcW w:w="992" w:type="dxa"/>
            <w:noWrap w:val="0"/>
            <w:vAlign w:val="center"/>
          </w:tcPr>
          <w:p w14:paraId="724F2E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71F49F88">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提出合理的环境风险应急预案编制要求和有效的环境风险防范及应急措施，纳入区域环境风险应急联动机制。</w:t>
            </w:r>
          </w:p>
        </w:tc>
      </w:tr>
      <w:tr w14:paraId="1FF03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DEFE48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EFF33E3">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C08E2D9">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6BBDF9E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20EEEFF">
            <w:pPr>
              <w:widowControl/>
              <w:spacing w:line="0" w:lineRule="atLeast"/>
              <w:jc w:val="center"/>
              <w:rPr>
                <w:rFonts w:ascii="仿宋" w:hAnsi="仿宋" w:eastAsia="仿宋" w:cs="仿宋"/>
                <w:bCs/>
                <w:spacing w:val="-10"/>
                <w:kern w:val="0"/>
                <w:sz w:val="24"/>
              </w:rPr>
            </w:pPr>
          </w:p>
        </w:tc>
        <w:tc>
          <w:tcPr>
            <w:tcW w:w="992" w:type="dxa"/>
            <w:noWrap w:val="0"/>
            <w:vAlign w:val="center"/>
          </w:tcPr>
          <w:p w14:paraId="641434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748EEAC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新（改、扩）建石墨项目，应开展节能评估和审查，水资源应循环利用。鳞片石墨选矿工艺水循环利用率不低于90%。高纯石墨、可膨胀石墨工艺水循环利用率不低于80%。2.鼓励综合利用尾矿资源，大力发展循环经济。3.地下水开发利用应当以浅层地下水为主。深层地下水作为战略储备水源、应急供水水源、无替代水源地区的居民生活水源，应当严格限制开采。</w:t>
            </w:r>
          </w:p>
        </w:tc>
      </w:tr>
      <w:tr w14:paraId="073E0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F23FD8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ZH13042420079</w:t>
            </w:r>
          </w:p>
        </w:tc>
        <w:tc>
          <w:tcPr>
            <w:tcW w:w="567" w:type="dxa"/>
            <w:vMerge w:val="restart"/>
            <w:noWrap w:val="0"/>
            <w:vAlign w:val="center"/>
          </w:tcPr>
          <w:p w14:paraId="31197B8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0973E9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成安镇、道东堡镇、辛义乡</w:t>
            </w:r>
          </w:p>
        </w:tc>
        <w:tc>
          <w:tcPr>
            <w:tcW w:w="675" w:type="dxa"/>
            <w:vMerge w:val="restart"/>
            <w:noWrap w:val="0"/>
            <w:vAlign w:val="center"/>
          </w:tcPr>
          <w:p w14:paraId="769DB17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34" w:type="dxa"/>
            <w:vMerge w:val="restart"/>
            <w:noWrap w:val="0"/>
            <w:vAlign w:val="center"/>
          </w:tcPr>
          <w:p w14:paraId="4471F9D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大气环境受体敏感重点管控区、水环境城镇生活污染重点管控区、地下水开采重点管控区</w:t>
            </w:r>
          </w:p>
        </w:tc>
        <w:tc>
          <w:tcPr>
            <w:tcW w:w="992" w:type="dxa"/>
            <w:noWrap w:val="0"/>
            <w:vAlign w:val="center"/>
          </w:tcPr>
          <w:p w14:paraId="2CF89E7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34023B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对不符合园区产业定位的18家企业，按照规划环评要求执行。同时根据政府及相关部门要求，需要搬迁时进行搬迁。结合下一轮园区规划，调整园区产业定位。3.严格地下水管理，地下水禁采区和地下水限采区内按照《河北省人民政府关于公布地下水超采区和禁止开采区、限制开采区范围的通知》（冀政字〔2022〕59号）要求执行。</w:t>
            </w:r>
          </w:p>
        </w:tc>
      </w:tr>
      <w:tr w14:paraId="6C604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3A0B23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AB0FEB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8B4A1FF">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2AFBF11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7A730BE">
            <w:pPr>
              <w:widowControl/>
              <w:spacing w:line="0" w:lineRule="atLeast"/>
              <w:jc w:val="center"/>
              <w:rPr>
                <w:rFonts w:ascii="仿宋" w:hAnsi="仿宋" w:eastAsia="仿宋" w:cs="仿宋"/>
                <w:bCs/>
                <w:spacing w:val="-10"/>
                <w:kern w:val="0"/>
                <w:sz w:val="24"/>
              </w:rPr>
            </w:pPr>
          </w:p>
        </w:tc>
        <w:tc>
          <w:tcPr>
            <w:tcW w:w="992" w:type="dxa"/>
            <w:noWrap w:val="0"/>
            <w:vAlign w:val="center"/>
          </w:tcPr>
          <w:p w14:paraId="30CBBA0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DFACA4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工业企业污染物排放满足《工业企业挥发性有机物排放控制标准》（DB13/2322-2016）、《挥发性有机物无组织排放控制标准》（GB37822-2019）、《锅炉大气污染物排放标准》（DB13/5161-2020）、《工业炉窑大气污染物排放标准》（DB13/1640-2012）中的相应排放限值，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的通知》(冀环大气〔2019〕607号)要求及“退后十”方案中邯郸限值要求。2.现有及新（改、扩）建向环境水体直接排放污水的排污单位满足《子牙河流域水污染物排放标准》（DB13/2796-2018)相应排放限值要求。</w:t>
            </w:r>
          </w:p>
        </w:tc>
      </w:tr>
      <w:tr w14:paraId="18C55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8B06C3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CE81B82">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5DCB8B38">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6E5B1FB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0A6D923">
            <w:pPr>
              <w:widowControl/>
              <w:spacing w:line="0" w:lineRule="atLeast"/>
              <w:jc w:val="center"/>
              <w:rPr>
                <w:rFonts w:ascii="仿宋" w:hAnsi="仿宋" w:eastAsia="仿宋" w:cs="仿宋"/>
                <w:bCs/>
                <w:spacing w:val="-10"/>
                <w:kern w:val="0"/>
                <w:sz w:val="24"/>
              </w:rPr>
            </w:pPr>
          </w:p>
        </w:tc>
        <w:tc>
          <w:tcPr>
            <w:tcW w:w="992" w:type="dxa"/>
            <w:noWrap w:val="0"/>
            <w:vAlign w:val="center"/>
          </w:tcPr>
          <w:p w14:paraId="0EBEF1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1B45475E">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53718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CA6CC6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C9962DD">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0DE8ABD6">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5465A6E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D2F5F26">
            <w:pPr>
              <w:widowControl/>
              <w:spacing w:line="0" w:lineRule="atLeast"/>
              <w:jc w:val="center"/>
              <w:rPr>
                <w:rFonts w:ascii="仿宋" w:hAnsi="仿宋" w:eastAsia="仿宋" w:cs="仿宋"/>
                <w:bCs/>
                <w:spacing w:val="-10"/>
                <w:kern w:val="0"/>
                <w:sz w:val="24"/>
              </w:rPr>
            </w:pPr>
          </w:p>
        </w:tc>
        <w:tc>
          <w:tcPr>
            <w:tcW w:w="992" w:type="dxa"/>
            <w:noWrap w:val="0"/>
            <w:vAlign w:val="center"/>
          </w:tcPr>
          <w:p w14:paraId="005464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CA9779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工业用水采用集中供水，禁止开采地下水。2.加快园区的基础设施建设，特别是集中供热设施的建设。加大污染物控制力度，减小能耗、物耗，提高物料回用率，引入废水资源化技术，全面提高清洁生产水平。3.地下水开发利用应当以浅层地下水为主。深层地下水作为战略储备水源、应急供水水源、无替代水源地区的居民生活水源，应当严格限制开采。</w:t>
            </w:r>
          </w:p>
        </w:tc>
      </w:tr>
      <w:tr w14:paraId="65DA4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3AC16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ZH13042420080</w:t>
            </w:r>
          </w:p>
        </w:tc>
        <w:tc>
          <w:tcPr>
            <w:tcW w:w="567" w:type="dxa"/>
            <w:vMerge w:val="restart"/>
            <w:noWrap w:val="0"/>
            <w:vAlign w:val="center"/>
          </w:tcPr>
          <w:p w14:paraId="3489117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3927CC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商城镇、长巷乡</w:t>
            </w:r>
          </w:p>
        </w:tc>
        <w:tc>
          <w:tcPr>
            <w:tcW w:w="675" w:type="dxa"/>
            <w:vMerge w:val="restart"/>
            <w:noWrap w:val="0"/>
            <w:vAlign w:val="center"/>
          </w:tcPr>
          <w:p w14:paraId="6302D0E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34" w:type="dxa"/>
            <w:vMerge w:val="restart"/>
            <w:noWrap w:val="0"/>
            <w:vAlign w:val="center"/>
          </w:tcPr>
          <w:p w14:paraId="14F0E30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水环境城镇生活污染重点管控区、地下水开采重点管控区、高污染燃料禁燃区</w:t>
            </w:r>
          </w:p>
        </w:tc>
        <w:tc>
          <w:tcPr>
            <w:tcW w:w="992" w:type="dxa"/>
            <w:noWrap w:val="0"/>
            <w:vAlign w:val="center"/>
          </w:tcPr>
          <w:p w14:paraId="31C401C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4C02B17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1.提高VOCs排放重点行业环保准入门槛，严格控制新增污染物排放量。新建涉VOCs排放的工业企业要入园区。2.省级及以上工业园区以外禁止新建和扩建涂料、油墨、颜料及类似产品制造(等量置换除外)。</w:t>
            </w:r>
          </w:p>
        </w:tc>
      </w:tr>
      <w:tr w14:paraId="1DA49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26AB09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3D886B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B984F07">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5408FE9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346E99D">
            <w:pPr>
              <w:widowControl/>
              <w:spacing w:line="0" w:lineRule="atLeast"/>
              <w:jc w:val="center"/>
              <w:rPr>
                <w:rFonts w:ascii="仿宋" w:hAnsi="仿宋" w:eastAsia="仿宋" w:cs="仿宋"/>
                <w:bCs/>
                <w:spacing w:val="-10"/>
                <w:kern w:val="0"/>
                <w:sz w:val="24"/>
              </w:rPr>
            </w:pPr>
          </w:p>
        </w:tc>
        <w:tc>
          <w:tcPr>
            <w:tcW w:w="992" w:type="dxa"/>
            <w:noWrap w:val="0"/>
            <w:vAlign w:val="center"/>
          </w:tcPr>
          <w:p w14:paraId="451657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5B3586B1">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油墨、涂料行业污染物排放满足《涂料、油墨及胶粘剂工业大气污染物排放标准》(GB37824-2019)、《油墨工业水污染物排放标准》(GB25463-2010)、《工业企业挥发性有机物排放控制标准》(DB13/2322-2016)和《挥发性有机物无组织排放控制标准》(GB37822-2019)中相应排放限值要求。2.全面加强原辅材料源头替代，从源头减少VOCs产生。涉VOCs重点企业全面执行《挥发性有机物无组织排放控制标准》(GB37822-2019)。选择适宜的废气治理工艺，对VOCs污染源进行有效处理。3.现有及新（改、扩）建向环境水体直接排放污水的排污单位满足《子牙河流域水污染物排放标准》（DB13/2796-2018)相应排放限值要求。</w:t>
            </w:r>
          </w:p>
        </w:tc>
      </w:tr>
      <w:tr w14:paraId="2A9ED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2686D3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2002D0F">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9A4E199">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3CF9571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1BAE5D2">
            <w:pPr>
              <w:widowControl/>
              <w:spacing w:line="0" w:lineRule="atLeast"/>
              <w:jc w:val="center"/>
              <w:rPr>
                <w:rFonts w:ascii="仿宋" w:hAnsi="仿宋" w:eastAsia="仿宋" w:cs="仿宋"/>
                <w:bCs/>
                <w:spacing w:val="-10"/>
                <w:kern w:val="0"/>
                <w:sz w:val="24"/>
              </w:rPr>
            </w:pPr>
          </w:p>
        </w:tc>
        <w:tc>
          <w:tcPr>
            <w:tcW w:w="992" w:type="dxa"/>
            <w:noWrap w:val="0"/>
            <w:vAlign w:val="center"/>
          </w:tcPr>
          <w:p w14:paraId="6C1C7F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5BAE618A">
            <w:pPr>
              <w:widowControl/>
              <w:spacing w:line="0" w:lineRule="atLeast"/>
              <w:ind w:firstLine="416" w:firstLineChars="200"/>
              <w:rPr>
                <w:rFonts w:ascii="仿宋" w:hAnsi="仿宋" w:eastAsia="仿宋" w:cs="仿宋"/>
                <w:spacing w:val="-16"/>
                <w:kern w:val="0"/>
                <w:sz w:val="24"/>
              </w:rPr>
            </w:pPr>
            <w:r>
              <w:rPr>
                <w:rFonts w:hint="eastAsia" w:ascii="仿宋" w:hAnsi="仿宋" w:eastAsia="仿宋" w:cs="仿宋"/>
                <w:bCs/>
                <w:spacing w:val="-16"/>
                <w:kern w:val="0"/>
                <w:sz w:val="24"/>
              </w:rPr>
              <w:t>工艺过程中产生的含VOCs废料(渣、液)满足《挥发性有机物无组织排放控制标准》(GB37822-2019)中的要求。</w:t>
            </w:r>
          </w:p>
        </w:tc>
      </w:tr>
      <w:tr w14:paraId="5392F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CE1C8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C3CBB10">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6A4B6F2E">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5BCEB45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5A188DE">
            <w:pPr>
              <w:widowControl/>
              <w:spacing w:line="0" w:lineRule="atLeast"/>
              <w:jc w:val="center"/>
              <w:rPr>
                <w:rFonts w:ascii="仿宋" w:hAnsi="仿宋" w:eastAsia="仿宋" w:cs="仿宋"/>
                <w:bCs/>
                <w:spacing w:val="-10"/>
                <w:kern w:val="0"/>
                <w:sz w:val="24"/>
              </w:rPr>
            </w:pPr>
          </w:p>
        </w:tc>
        <w:tc>
          <w:tcPr>
            <w:tcW w:w="992" w:type="dxa"/>
            <w:noWrap w:val="0"/>
            <w:vAlign w:val="center"/>
          </w:tcPr>
          <w:p w14:paraId="072EFF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D2E0BFA">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禁燃区内严格按照相应的高污染燃料禁燃区的通告要求执行。</w:t>
            </w:r>
          </w:p>
        </w:tc>
      </w:tr>
      <w:tr w14:paraId="1D491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2186E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ZH13042420081</w:t>
            </w:r>
          </w:p>
        </w:tc>
        <w:tc>
          <w:tcPr>
            <w:tcW w:w="567" w:type="dxa"/>
            <w:vMerge w:val="restart"/>
            <w:noWrap w:val="0"/>
            <w:vAlign w:val="center"/>
          </w:tcPr>
          <w:p w14:paraId="3824F3B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3A01E87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柏寺营乡、北乡义镇、漳河店镇</w:t>
            </w:r>
          </w:p>
        </w:tc>
        <w:tc>
          <w:tcPr>
            <w:tcW w:w="675" w:type="dxa"/>
            <w:vMerge w:val="restart"/>
            <w:noWrap w:val="0"/>
            <w:vAlign w:val="center"/>
          </w:tcPr>
          <w:p w14:paraId="5864313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1134" w:type="dxa"/>
            <w:vMerge w:val="restart"/>
            <w:noWrap w:val="0"/>
            <w:vAlign w:val="center"/>
          </w:tcPr>
          <w:p w14:paraId="6550DA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水环境农业污染重点管控区、地下水开采重点管控区</w:t>
            </w:r>
          </w:p>
        </w:tc>
        <w:tc>
          <w:tcPr>
            <w:tcW w:w="992" w:type="dxa"/>
            <w:noWrap w:val="0"/>
            <w:vAlign w:val="center"/>
          </w:tcPr>
          <w:p w14:paraId="3FBC6C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0F4CB3DF">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提高VOCs排放重点行业环保准入门槛，严格控制新增污染物排放量。新建涉VOCs排放的工业企业要入园区。2.省级及以上工业园区以外禁止新建和扩建涂料、油墨、颜料及类似产品制造(等量置换除外)。3.严格地下水管理，地下水禁采区和地下水限采区内按照《河北省人民政府关于公布地下水超采区和禁止开采区、限制开采区范围的通知》（冀政字〔2022〕59号）要求执行。</w:t>
            </w:r>
          </w:p>
        </w:tc>
      </w:tr>
      <w:tr w14:paraId="4C5B4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8F0F89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DD2F41B">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3B44733">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0471B71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87C5737">
            <w:pPr>
              <w:widowControl/>
              <w:spacing w:line="0" w:lineRule="atLeast"/>
              <w:jc w:val="center"/>
              <w:rPr>
                <w:rFonts w:ascii="仿宋" w:hAnsi="仿宋" w:eastAsia="仿宋" w:cs="仿宋"/>
                <w:bCs/>
                <w:spacing w:val="-10"/>
                <w:kern w:val="0"/>
                <w:sz w:val="24"/>
              </w:rPr>
            </w:pPr>
          </w:p>
        </w:tc>
        <w:tc>
          <w:tcPr>
            <w:tcW w:w="992" w:type="dxa"/>
            <w:noWrap w:val="0"/>
            <w:vAlign w:val="center"/>
          </w:tcPr>
          <w:p w14:paraId="0A2E7F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2471EE94">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油墨、涂料行业污染物排放满足《涂料、油墨及胶粘剂工业大气污染物排放标准》(GB37824-2019)、《油墨工业水污染物排放标准》(GB25463-2010)、《工业企业挥发性有机物排放控制标准》(DB13/2322-2016)和《挥发性有机物无组织排放控制标准》(GB37822-2019)中相应排放限值要求。2.全面加强原辅材料源头替代，从源头减少VOCs产生。涉VOCs重点企业全面执行《挥发性有机物无组织排放控制标准》(GB37822-2019)。选择适宜的废气治理工艺，对VOCs污染源进行有效处理。3.现有及新（改、扩）建向环境水体直接排放污水的排污单位满足《子牙河流域水污染物排放标准》（DB13/2796-2018)相应排放限值要求。4.针对性推进“散乱污”企业整治、工业全面达标排放计划、工业集聚区（省级以上经济技术开发区、高新技术产业开发区以及省级以下各类工业集聚区）水污染治理、城镇污水处理基础设施建设、畜禽养殖废弃物资源化综合利用、化肥和农药使用量零增长、农村人居环境整治和河湖内源治理等工程措施，确保污染负荷大幅度削减。</w:t>
            </w:r>
          </w:p>
        </w:tc>
      </w:tr>
      <w:tr w14:paraId="02A81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76FD8A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D5A1E14">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2EC3C52A">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3A69F25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2ED66AD">
            <w:pPr>
              <w:widowControl/>
              <w:spacing w:line="0" w:lineRule="atLeast"/>
              <w:jc w:val="center"/>
              <w:rPr>
                <w:rFonts w:ascii="仿宋" w:hAnsi="仿宋" w:eastAsia="仿宋" w:cs="仿宋"/>
                <w:bCs/>
                <w:spacing w:val="-10"/>
                <w:kern w:val="0"/>
                <w:sz w:val="24"/>
              </w:rPr>
            </w:pPr>
          </w:p>
        </w:tc>
        <w:tc>
          <w:tcPr>
            <w:tcW w:w="992" w:type="dxa"/>
            <w:noWrap w:val="0"/>
            <w:vAlign w:val="center"/>
          </w:tcPr>
          <w:p w14:paraId="237D387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55831088">
            <w:pPr>
              <w:widowControl/>
              <w:spacing w:line="0" w:lineRule="atLeast"/>
              <w:ind w:firstLine="416" w:firstLineChars="200"/>
              <w:rPr>
                <w:rFonts w:ascii="仿宋" w:hAnsi="仿宋" w:eastAsia="仿宋" w:cs="仿宋"/>
                <w:spacing w:val="-16"/>
                <w:kern w:val="0"/>
                <w:sz w:val="24"/>
              </w:rPr>
            </w:pPr>
            <w:r>
              <w:rPr>
                <w:rFonts w:hint="eastAsia" w:ascii="仿宋" w:hAnsi="仿宋" w:eastAsia="仿宋" w:cs="仿宋"/>
                <w:bCs/>
                <w:spacing w:val="-16"/>
                <w:kern w:val="0"/>
                <w:sz w:val="24"/>
              </w:rPr>
              <w:t>工艺过程中产生的含VOCs废料(渣、液)满足《挥发性有机物无组织排放控制标准》(GB37822-2019)中的要求。</w:t>
            </w:r>
          </w:p>
        </w:tc>
      </w:tr>
      <w:tr w14:paraId="27009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A4095E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0337282">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BBAE159">
            <w:pPr>
              <w:widowControl/>
              <w:spacing w:line="0" w:lineRule="atLeast"/>
              <w:jc w:val="center"/>
              <w:rPr>
                <w:rFonts w:ascii="仿宋" w:hAnsi="仿宋" w:eastAsia="仿宋" w:cs="仿宋"/>
                <w:bCs/>
                <w:spacing w:val="-10"/>
                <w:kern w:val="0"/>
                <w:sz w:val="24"/>
              </w:rPr>
            </w:pPr>
          </w:p>
        </w:tc>
        <w:tc>
          <w:tcPr>
            <w:tcW w:w="675" w:type="dxa"/>
            <w:vMerge w:val="continue"/>
            <w:noWrap w:val="0"/>
            <w:vAlign w:val="center"/>
          </w:tcPr>
          <w:p w14:paraId="03677AE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DB57EEB">
            <w:pPr>
              <w:widowControl/>
              <w:spacing w:line="0" w:lineRule="atLeast"/>
              <w:jc w:val="center"/>
              <w:rPr>
                <w:rFonts w:ascii="仿宋" w:hAnsi="仿宋" w:eastAsia="仿宋" w:cs="仿宋"/>
                <w:bCs/>
                <w:spacing w:val="-10"/>
                <w:kern w:val="0"/>
                <w:sz w:val="24"/>
              </w:rPr>
            </w:pPr>
          </w:p>
        </w:tc>
        <w:tc>
          <w:tcPr>
            <w:tcW w:w="992" w:type="dxa"/>
            <w:noWrap w:val="0"/>
            <w:vAlign w:val="center"/>
          </w:tcPr>
          <w:p w14:paraId="27967A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42281B76">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推进畜禽粪污集中处理与资源化利用，强化病死畜禽无害化处理体系建设。持续推进畜禽粪污资源化利用，以种养结合、协同减排为引导，强化粪污收运还田体系建设，结合实际选择粪污肥料化、燃料化、基质化等资源化利用模式，实现粪污就近利用。2.地下水开发利用应当以浅层地下水为主。深层地下水作为战略储备水源、应急供水水源、无替代水源地区的居民生活水源，应当严格限制开采。</w:t>
            </w:r>
          </w:p>
        </w:tc>
      </w:tr>
      <w:tr w14:paraId="6C56B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653AF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ZH13042430082</w:t>
            </w:r>
          </w:p>
        </w:tc>
        <w:tc>
          <w:tcPr>
            <w:tcW w:w="567" w:type="dxa"/>
            <w:vMerge w:val="restart"/>
            <w:noWrap w:val="0"/>
            <w:vAlign w:val="center"/>
          </w:tcPr>
          <w:p w14:paraId="5BFF32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成安县</w:t>
            </w:r>
          </w:p>
        </w:tc>
        <w:tc>
          <w:tcPr>
            <w:tcW w:w="885" w:type="dxa"/>
            <w:vMerge w:val="restart"/>
            <w:noWrap w:val="0"/>
            <w:vAlign w:val="center"/>
          </w:tcPr>
          <w:p w14:paraId="45F023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李家町镇</w:t>
            </w:r>
          </w:p>
        </w:tc>
        <w:tc>
          <w:tcPr>
            <w:tcW w:w="675" w:type="dxa"/>
            <w:vMerge w:val="restart"/>
            <w:noWrap w:val="0"/>
            <w:vAlign w:val="center"/>
          </w:tcPr>
          <w:p w14:paraId="511D69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1134" w:type="dxa"/>
            <w:vMerge w:val="restart"/>
            <w:noWrap w:val="0"/>
            <w:vAlign w:val="center"/>
          </w:tcPr>
          <w:p w14:paraId="45C7E7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992" w:type="dxa"/>
            <w:noWrap w:val="0"/>
            <w:vAlign w:val="center"/>
          </w:tcPr>
          <w:p w14:paraId="78A4F3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053" w:type="dxa"/>
            <w:noWrap w:val="0"/>
            <w:vAlign w:val="center"/>
          </w:tcPr>
          <w:p w14:paraId="33752F7D">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严格地下水管理，地下水禁采区和地下水限采区内按照《河北省人民政府关于公布地下水超采区和禁止开采区、限制开采区范围的通知》（冀政字〔2022〕59号）要求执行。</w:t>
            </w:r>
          </w:p>
        </w:tc>
      </w:tr>
      <w:tr w14:paraId="2B07A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726D44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E3E71B0">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730C5BE3">
            <w:pPr>
              <w:widowControl/>
              <w:spacing w:line="0" w:lineRule="atLeast"/>
              <w:rPr>
                <w:rFonts w:ascii="仿宋" w:hAnsi="仿宋" w:eastAsia="仿宋" w:cs="仿宋"/>
                <w:bCs/>
                <w:spacing w:val="-10"/>
                <w:kern w:val="0"/>
                <w:sz w:val="24"/>
              </w:rPr>
            </w:pPr>
          </w:p>
        </w:tc>
        <w:tc>
          <w:tcPr>
            <w:tcW w:w="675" w:type="dxa"/>
            <w:vMerge w:val="continue"/>
            <w:noWrap w:val="0"/>
            <w:vAlign w:val="center"/>
          </w:tcPr>
          <w:p w14:paraId="098068D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BA31C14">
            <w:pPr>
              <w:widowControl/>
              <w:spacing w:line="0" w:lineRule="atLeast"/>
              <w:jc w:val="center"/>
              <w:rPr>
                <w:rFonts w:ascii="仿宋" w:hAnsi="仿宋" w:eastAsia="仿宋" w:cs="仿宋"/>
                <w:bCs/>
                <w:spacing w:val="-10"/>
                <w:kern w:val="0"/>
                <w:sz w:val="24"/>
              </w:rPr>
            </w:pPr>
          </w:p>
        </w:tc>
        <w:tc>
          <w:tcPr>
            <w:tcW w:w="992" w:type="dxa"/>
            <w:noWrap w:val="0"/>
            <w:vAlign w:val="center"/>
          </w:tcPr>
          <w:p w14:paraId="5E8B488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053" w:type="dxa"/>
            <w:noWrap w:val="0"/>
            <w:vAlign w:val="center"/>
          </w:tcPr>
          <w:p w14:paraId="19A3C886">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w:t>
            </w:r>
            <w:r>
              <w:rPr>
                <w:rFonts w:hint="eastAsia" w:ascii="仿宋" w:hAnsi="仿宋" w:eastAsia="仿宋" w:cs="仿宋"/>
                <w:spacing w:val="-16"/>
                <w:sz w:val="24"/>
              </w:rPr>
              <w:t>工业炉窑污染物排放满足《工业炉窑大气污染物排放标准》(DB13/1640-2012)和《关于印发〈河北省工业炉窑</w:t>
            </w:r>
            <w:r>
              <w:rPr>
                <w:rFonts w:hint="eastAsia" w:ascii="仿宋" w:hAnsi="仿宋" w:eastAsia="仿宋" w:cs="仿宋"/>
                <w:spacing w:val="-16"/>
                <w:sz w:val="24"/>
                <w:lang w:eastAsia="zh-CN"/>
              </w:rPr>
              <w:t>综合治理实施方案〉</w:t>
            </w:r>
            <w:r>
              <w:rPr>
                <w:rFonts w:hint="eastAsia" w:ascii="仿宋" w:hAnsi="仿宋" w:eastAsia="仿宋" w:cs="仿宋"/>
                <w:spacing w:val="-16"/>
                <w:sz w:val="24"/>
              </w:rPr>
              <w:t>的通知》(冀环大气〔2019〕607号)及“退后十”方案中邯郸限值要求。2.</w:t>
            </w:r>
            <w:r>
              <w:rPr>
                <w:rFonts w:hint="eastAsia" w:ascii="仿宋" w:hAnsi="仿宋" w:eastAsia="仿宋" w:cs="仿宋"/>
                <w:bCs/>
                <w:spacing w:val="-16"/>
                <w:kern w:val="0"/>
                <w:sz w:val="24"/>
              </w:rPr>
              <w:t>现有及新（改、扩）建向环境水体直接排放污水的排污单位满足《子牙河流域水污染物排放标准》（DB13/2796-2018)相应排放限值要求。</w:t>
            </w:r>
          </w:p>
        </w:tc>
      </w:tr>
      <w:tr w14:paraId="1FF17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448DB4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C7260D9">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1B96DBBC">
            <w:pPr>
              <w:widowControl/>
              <w:spacing w:line="0" w:lineRule="atLeast"/>
              <w:rPr>
                <w:rFonts w:ascii="仿宋" w:hAnsi="仿宋" w:eastAsia="仿宋" w:cs="仿宋"/>
                <w:bCs/>
                <w:spacing w:val="-10"/>
                <w:kern w:val="0"/>
                <w:sz w:val="24"/>
              </w:rPr>
            </w:pPr>
          </w:p>
        </w:tc>
        <w:tc>
          <w:tcPr>
            <w:tcW w:w="675" w:type="dxa"/>
            <w:vMerge w:val="continue"/>
            <w:noWrap w:val="0"/>
            <w:vAlign w:val="center"/>
          </w:tcPr>
          <w:p w14:paraId="6469B80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23BD6DE">
            <w:pPr>
              <w:widowControl/>
              <w:spacing w:line="0" w:lineRule="atLeast"/>
              <w:jc w:val="center"/>
              <w:rPr>
                <w:rFonts w:ascii="仿宋" w:hAnsi="仿宋" w:eastAsia="仿宋" w:cs="仿宋"/>
                <w:bCs/>
                <w:spacing w:val="-10"/>
                <w:kern w:val="0"/>
                <w:sz w:val="24"/>
              </w:rPr>
            </w:pPr>
          </w:p>
        </w:tc>
        <w:tc>
          <w:tcPr>
            <w:tcW w:w="992" w:type="dxa"/>
            <w:noWrap w:val="0"/>
            <w:vAlign w:val="center"/>
          </w:tcPr>
          <w:p w14:paraId="144835C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053" w:type="dxa"/>
            <w:noWrap w:val="0"/>
            <w:vAlign w:val="center"/>
          </w:tcPr>
          <w:p w14:paraId="2532EA67">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提出合理的环境风险应急预案编制要求和有效的环境风险防范及应急措施，纳入区域环境风险应急联动机制。</w:t>
            </w:r>
          </w:p>
        </w:tc>
      </w:tr>
      <w:tr w14:paraId="138F9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142185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BC9FC2A">
            <w:pPr>
              <w:widowControl/>
              <w:spacing w:line="0" w:lineRule="atLeast"/>
              <w:jc w:val="center"/>
              <w:rPr>
                <w:rFonts w:ascii="仿宋" w:hAnsi="仿宋" w:eastAsia="仿宋" w:cs="仿宋"/>
                <w:bCs/>
                <w:spacing w:val="-10"/>
                <w:kern w:val="0"/>
                <w:sz w:val="24"/>
              </w:rPr>
            </w:pPr>
          </w:p>
        </w:tc>
        <w:tc>
          <w:tcPr>
            <w:tcW w:w="885" w:type="dxa"/>
            <w:vMerge w:val="continue"/>
            <w:noWrap w:val="0"/>
            <w:vAlign w:val="center"/>
          </w:tcPr>
          <w:p w14:paraId="4A448AB9">
            <w:pPr>
              <w:widowControl/>
              <w:spacing w:line="0" w:lineRule="atLeast"/>
              <w:rPr>
                <w:rFonts w:ascii="仿宋" w:hAnsi="仿宋" w:eastAsia="仿宋" w:cs="仿宋"/>
                <w:bCs/>
                <w:spacing w:val="-10"/>
                <w:kern w:val="0"/>
                <w:sz w:val="24"/>
              </w:rPr>
            </w:pPr>
          </w:p>
        </w:tc>
        <w:tc>
          <w:tcPr>
            <w:tcW w:w="675" w:type="dxa"/>
            <w:vMerge w:val="continue"/>
            <w:noWrap w:val="0"/>
            <w:vAlign w:val="center"/>
          </w:tcPr>
          <w:p w14:paraId="1220D8D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CE20442">
            <w:pPr>
              <w:widowControl/>
              <w:spacing w:line="0" w:lineRule="atLeast"/>
              <w:jc w:val="center"/>
              <w:rPr>
                <w:rFonts w:ascii="仿宋" w:hAnsi="仿宋" w:eastAsia="仿宋" w:cs="仿宋"/>
                <w:bCs/>
                <w:spacing w:val="-10"/>
                <w:kern w:val="0"/>
                <w:sz w:val="24"/>
              </w:rPr>
            </w:pPr>
          </w:p>
        </w:tc>
        <w:tc>
          <w:tcPr>
            <w:tcW w:w="992" w:type="dxa"/>
            <w:noWrap w:val="0"/>
            <w:vAlign w:val="center"/>
          </w:tcPr>
          <w:p w14:paraId="705869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053" w:type="dxa"/>
            <w:noWrap w:val="0"/>
            <w:vAlign w:val="center"/>
          </w:tcPr>
          <w:p w14:paraId="1654E4B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bl>
    <w:p w14:paraId="53FD869B">
      <w:pPr>
        <w:pStyle w:val="10"/>
        <w:numPr>
          <w:ilvl w:val="1"/>
          <w:numId w:val="0"/>
        </w:numPr>
        <w:spacing w:beforeLines="50"/>
        <w:ind w:firstLine="640" w:firstLineChars="200"/>
        <w:outlineLvl w:val="1"/>
        <w:rPr>
          <w:rFonts w:ascii="仿宋" w:hAnsi="仿宋" w:eastAsia="仿宋" w:cs="仿宋"/>
        </w:rPr>
      </w:pPr>
      <w:r>
        <w:rPr>
          <w:rFonts w:hint="eastAsia" w:ascii="仿宋" w:hAnsi="仿宋" w:eastAsia="仿宋" w:cs="仿宋"/>
          <w:bCs/>
          <w:sz w:val="32"/>
          <w:szCs w:val="32"/>
        </w:rPr>
        <w:t>（九）大名县生态环境准入清单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086"/>
        <w:gridCol w:w="636"/>
        <w:gridCol w:w="877"/>
        <w:gridCol w:w="908"/>
        <w:gridCol w:w="4232"/>
      </w:tblGrid>
      <w:tr w14:paraId="50A59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6734ED5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5DC74F2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086" w:type="dxa"/>
            <w:shd w:val="clear" w:color="auto" w:fill="D7D7D7"/>
            <w:noWrap w:val="0"/>
            <w:vAlign w:val="center"/>
          </w:tcPr>
          <w:p w14:paraId="5502290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636" w:type="dxa"/>
            <w:shd w:val="clear" w:color="auto" w:fill="D7D7D7"/>
            <w:noWrap w:val="0"/>
            <w:vAlign w:val="center"/>
          </w:tcPr>
          <w:p w14:paraId="5BFC641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77" w:type="dxa"/>
            <w:shd w:val="clear" w:color="auto" w:fill="D7D7D7"/>
            <w:noWrap w:val="0"/>
            <w:vAlign w:val="center"/>
          </w:tcPr>
          <w:p w14:paraId="5283805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908" w:type="dxa"/>
            <w:shd w:val="clear" w:color="auto" w:fill="D7D7D7"/>
            <w:noWrap w:val="0"/>
            <w:vAlign w:val="center"/>
          </w:tcPr>
          <w:p w14:paraId="4712C89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232" w:type="dxa"/>
            <w:shd w:val="clear" w:color="auto" w:fill="D7D7D7"/>
            <w:noWrap w:val="0"/>
            <w:vAlign w:val="center"/>
          </w:tcPr>
          <w:p w14:paraId="2C112E5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26FE1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03" w:hRule="atLeast"/>
          <w:jc w:val="center"/>
        </w:trPr>
        <w:tc>
          <w:tcPr>
            <w:tcW w:w="595" w:type="dxa"/>
            <w:vMerge w:val="restart"/>
            <w:noWrap w:val="0"/>
            <w:vAlign w:val="center"/>
          </w:tcPr>
          <w:p w14:paraId="1E56CBD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ZH13042510083</w:t>
            </w:r>
          </w:p>
        </w:tc>
        <w:tc>
          <w:tcPr>
            <w:tcW w:w="567" w:type="dxa"/>
            <w:vMerge w:val="restart"/>
            <w:noWrap w:val="0"/>
            <w:vAlign w:val="center"/>
          </w:tcPr>
          <w:p w14:paraId="7CAF878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大名县</w:t>
            </w:r>
          </w:p>
        </w:tc>
        <w:tc>
          <w:tcPr>
            <w:tcW w:w="1086" w:type="dxa"/>
            <w:vMerge w:val="restart"/>
            <w:noWrap w:val="0"/>
            <w:vAlign w:val="center"/>
          </w:tcPr>
          <w:p w14:paraId="416102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大街镇、红庙乡、黄金堤乡、金滩镇、旧治乡、龙王庙镇、沙圪塔镇、王村乡、杨桥镇、营镇回族乡</w:t>
            </w:r>
          </w:p>
        </w:tc>
        <w:tc>
          <w:tcPr>
            <w:tcW w:w="636" w:type="dxa"/>
            <w:vMerge w:val="restart"/>
            <w:noWrap w:val="0"/>
            <w:vAlign w:val="center"/>
          </w:tcPr>
          <w:p w14:paraId="7B1BE93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77" w:type="dxa"/>
            <w:vMerge w:val="restart"/>
            <w:noWrap w:val="0"/>
            <w:vAlign w:val="center"/>
          </w:tcPr>
          <w:p w14:paraId="727B15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河湖滨岸带、民有总干渠、卫河、漳卫河</w:t>
            </w:r>
          </w:p>
        </w:tc>
        <w:tc>
          <w:tcPr>
            <w:tcW w:w="908" w:type="dxa"/>
            <w:noWrap w:val="0"/>
            <w:vAlign w:val="center"/>
          </w:tcPr>
          <w:p w14:paraId="2265013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232" w:type="dxa"/>
            <w:noWrap w:val="0"/>
            <w:vAlign w:val="center"/>
          </w:tcPr>
          <w:p w14:paraId="2F93E4B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3.满足《河北省大运河文化保护传承利用实施规划-生态环境保护修复专项规划》《河北省大运河文化保护传承利用生态环境保护修复专项规划实施方案》中相应要求。</w:t>
            </w:r>
          </w:p>
        </w:tc>
      </w:tr>
      <w:tr w14:paraId="00ECA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9" w:hRule="atLeast"/>
          <w:jc w:val="center"/>
        </w:trPr>
        <w:tc>
          <w:tcPr>
            <w:tcW w:w="595" w:type="dxa"/>
            <w:vMerge w:val="continue"/>
            <w:noWrap w:val="0"/>
            <w:vAlign w:val="center"/>
          </w:tcPr>
          <w:p w14:paraId="64A088C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D4C0A98">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60407396">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34235BEA">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3337E554">
            <w:pPr>
              <w:widowControl/>
              <w:spacing w:line="0" w:lineRule="atLeast"/>
              <w:jc w:val="center"/>
              <w:rPr>
                <w:rFonts w:ascii="仿宋" w:hAnsi="仿宋" w:eastAsia="仿宋" w:cs="仿宋"/>
                <w:bCs/>
                <w:spacing w:val="-10"/>
                <w:kern w:val="0"/>
                <w:sz w:val="24"/>
              </w:rPr>
            </w:pPr>
          </w:p>
        </w:tc>
        <w:tc>
          <w:tcPr>
            <w:tcW w:w="908" w:type="dxa"/>
            <w:noWrap w:val="0"/>
            <w:vAlign w:val="center"/>
          </w:tcPr>
          <w:p w14:paraId="15E41F3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232" w:type="dxa"/>
            <w:noWrap w:val="0"/>
            <w:vAlign w:val="center"/>
          </w:tcPr>
          <w:p w14:paraId="2EBCE9E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1A574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312152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13913D2">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13F8243C">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00F7B016">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38C42F22">
            <w:pPr>
              <w:widowControl/>
              <w:spacing w:line="0" w:lineRule="atLeast"/>
              <w:jc w:val="center"/>
              <w:rPr>
                <w:rFonts w:ascii="仿宋" w:hAnsi="仿宋" w:eastAsia="仿宋" w:cs="仿宋"/>
                <w:bCs/>
                <w:spacing w:val="-10"/>
                <w:kern w:val="0"/>
                <w:sz w:val="24"/>
              </w:rPr>
            </w:pPr>
          </w:p>
        </w:tc>
        <w:tc>
          <w:tcPr>
            <w:tcW w:w="908" w:type="dxa"/>
            <w:noWrap w:val="0"/>
            <w:vAlign w:val="center"/>
          </w:tcPr>
          <w:p w14:paraId="491F50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232" w:type="dxa"/>
            <w:noWrap w:val="0"/>
            <w:vAlign w:val="center"/>
          </w:tcPr>
          <w:p w14:paraId="2281D4C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34173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03C3F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6BFD078">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0951EE52">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29DBBC57">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24036EA5">
            <w:pPr>
              <w:widowControl/>
              <w:spacing w:line="0" w:lineRule="atLeast"/>
              <w:jc w:val="center"/>
              <w:rPr>
                <w:rFonts w:ascii="仿宋" w:hAnsi="仿宋" w:eastAsia="仿宋" w:cs="仿宋"/>
                <w:bCs/>
                <w:spacing w:val="-10"/>
                <w:kern w:val="0"/>
                <w:sz w:val="24"/>
              </w:rPr>
            </w:pPr>
          </w:p>
        </w:tc>
        <w:tc>
          <w:tcPr>
            <w:tcW w:w="908" w:type="dxa"/>
            <w:noWrap w:val="0"/>
            <w:vAlign w:val="center"/>
          </w:tcPr>
          <w:p w14:paraId="1DE001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232" w:type="dxa"/>
            <w:noWrap w:val="0"/>
            <w:vAlign w:val="center"/>
          </w:tcPr>
          <w:p w14:paraId="7501F91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89A6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BC3B9B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ZH13042510084</w:t>
            </w:r>
          </w:p>
        </w:tc>
        <w:tc>
          <w:tcPr>
            <w:tcW w:w="567" w:type="dxa"/>
            <w:vMerge w:val="restart"/>
            <w:noWrap w:val="0"/>
            <w:vAlign w:val="center"/>
          </w:tcPr>
          <w:p w14:paraId="25C2920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大名县</w:t>
            </w:r>
          </w:p>
        </w:tc>
        <w:tc>
          <w:tcPr>
            <w:tcW w:w="1086" w:type="dxa"/>
            <w:vMerge w:val="restart"/>
            <w:noWrap w:val="0"/>
            <w:vAlign w:val="center"/>
          </w:tcPr>
          <w:p w14:paraId="454F92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大名镇、万堤镇、龙王庙镇、束馆镇、金滩镇、大街镇、铺上镇、黄金堤乡、旧治乡、西未庄乡、西付集乡、埝头乡、红庙乡、营镇回族乡</w:t>
            </w:r>
          </w:p>
        </w:tc>
        <w:tc>
          <w:tcPr>
            <w:tcW w:w="636" w:type="dxa"/>
            <w:vMerge w:val="restart"/>
            <w:noWrap w:val="0"/>
            <w:vAlign w:val="center"/>
          </w:tcPr>
          <w:p w14:paraId="1B8DF38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77" w:type="dxa"/>
            <w:vMerge w:val="restart"/>
            <w:noWrap w:val="0"/>
            <w:vAlign w:val="center"/>
          </w:tcPr>
          <w:p w14:paraId="220B1F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908" w:type="dxa"/>
            <w:noWrap w:val="0"/>
            <w:vAlign w:val="center"/>
          </w:tcPr>
          <w:p w14:paraId="0CCD3EE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232" w:type="dxa"/>
            <w:noWrap w:val="0"/>
            <w:vAlign w:val="center"/>
          </w:tcPr>
          <w:p w14:paraId="1F69523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满足《河北省大运河文化保护传承利用实施规划-生态环境保护修复专项规划》《河北省大运河文化保护传承利用生态环境保护修复专项规划实施方案》中相应要求。</w:t>
            </w:r>
          </w:p>
        </w:tc>
      </w:tr>
      <w:tr w14:paraId="317EC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71A427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6B71FB8">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6412B277">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2803D8A6">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4C7CEBD4">
            <w:pPr>
              <w:widowControl/>
              <w:spacing w:line="0" w:lineRule="atLeast"/>
              <w:jc w:val="center"/>
              <w:rPr>
                <w:rFonts w:ascii="仿宋" w:hAnsi="仿宋" w:eastAsia="仿宋" w:cs="仿宋"/>
                <w:bCs/>
                <w:spacing w:val="-10"/>
                <w:kern w:val="0"/>
                <w:sz w:val="24"/>
              </w:rPr>
            </w:pPr>
          </w:p>
        </w:tc>
        <w:tc>
          <w:tcPr>
            <w:tcW w:w="908" w:type="dxa"/>
            <w:noWrap w:val="0"/>
            <w:vAlign w:val="center"/>
          </w:tcPr>
          <w:p w14:paraId="2D097E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232" w:type="dxa"/>
            <w:noWrap w:val="0"/>
            <w:vAlign w:val="center"/>
          </w:tcPr>
          <w:p w14:paraId="4D98DE4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4751C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9F1C99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59337B1">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247881B0">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2418419D">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6A2C1DAF">
            <w:pPr>
              <w:widowControl/>
              <w:spacing w:line="0" w:lineRule="atLeast"/>
              <w:jc w:val="center"/>
              <w:rPr>
                <w:rFonts w:ascii="仿宋" w:hAnsi="仿宋" w:eastAsia="仿宋" w:cs="仿宋"/>
                <w:bCs/>
                <w:spacing w:val="-10"/>
                <w:kern w:val="0"/>
                <w:sz w:val="24"/>
              </w:rPr>
            </w:pPr>
          </w:p>
        </w:tc>
        <w:tc>
          <w:tcPr>
            <w:tcW w:w="908" w:type="dxa"/>
            <w:noWrap w:val="0"/>
            <w:vAlign w:val="center"/>
          </w:tcPr>
          <w:p w14:paraId="35B253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232" w:type="dxa"/>
            <w:noWrap w:val="0"/>
            <w:vAlign w:val="center"/>
          </w:tcPr>
          <w:p w14:paraId="616F8A8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05615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7186FF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649EAA4">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001CAE9B">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58912B03">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31F4BECA">
            <w:pPr>
              <w:widowControl/>
              <w:spacing w:line="0" w:lineRule="atLeast"/>
              <w:jc w:val="center"/>
              <w:rPr>
                <w:rFonts w:ascii="仿宋" w:hAnsi="仿宋" w:eastAsia="仿宋" w:cs="仿宋"/>
                <w:bCs/>
                <w:spacing w:val="-10"/>
                <w:kern w:val="0"/>
                <w:sz w:val="24"/>
              </w:rPr>
            </w:pPr>
          </w:p>
        </w:tc>
        <w:tc>
          <w:tcPr>
            <w:tcW w:w="908" w:type="dxa"/>
            <w:noWrap w:val="0"/>
            <w:vAlign w:val="center"/>
          </w:tcPr>
          <w:p w14:paraId="0D6243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p w14:paraId="49F7BE9B">
            <w:pPr>
              <w:spacing w:line="0" w:lineRule="atLeast"/>
              <w:rPr>
                <w:rFonts w:ascii="仿宋" w:hAnsi="仿宋" w:eastAsia="仿宋" w:cs="仿宋"/>
                <w:sz w:val="24"/>
              </w:rPr>
            </w:pPr>
          </w:p>
        </w:tc>
        <w:tc>
          <w:tcPr>
            <w:tcW w:w="4232" w:type="dxa"/>
            <w:noWrap w:val="0"/>
            <w:vAlign w:val="center"/>
          </w:tcPr>
          <w:p w14:paraId="0A72F46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385EE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82" w:hRule="atLeast"/>
          <w:jc w:val="center"/>
        </w:trPr>
        <w:tc>
          <w:tcPr>
            <w:tcW w:w="595" w:type="dxa"/>
            <w:vMerge w:val="restart"/>
            <w:noWrap w:val="0"/>
            <w:vAlign w:val="center"/>
          </w:tcPr>
          <w:p w14:paraId="460400B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ZH13042520085</w:t>
            </w:r>
          </w:p>
        </w:tc>
        <w:tc>
          <w:tcPr>
            <w:tcW w:w="567" w:type="dxa"/>
            <w:vMerge w:val="restart"/>
            <w:noWrap w:val="0"/>
            <w:vAlign w:val="center"/>
          </w:tcPr>
          <w:p w14:paraId="4C79788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大名县</w:t>
            </w:r>
          </w:p>
        </w:tc>
        <w:tc>
          <w:tcPr>
            <w:tcW w:w="1086" w:type="dxa"/>
            <w:vMerge w:val="restart"/>
            <w:noWrap w:val="0"/>
            <w:vAlign w:val="center"/>
          </w:tcPr>
          <w:p w14:paraId="3854260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铺上镇</w:t>
            </w:r>
          </w:p>
        </w:tc>
        <w:tc>
          <w:tcPr>
            <w:tcW w:w="636" w:type="dxa"/>
            <w:vMerge w:val="restart"/>
            <w:noWrap w:val="0"/>
            <w:vAlign w:val="center"/>
          </w:tcPr>
          <w:p w14:paraId="12D1E9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重点管控区</w:t>
            </w:r>
          </w:p>
        </w:tc>
        <w:tc>
          <w:tcPr>
            <w:tcW w:w="877" w:type="dxa"/>
            <w:vMerge w:val="restart"/>
            <w:noWrap w:val="0"/>
            <w:vAlign w:val="center"/>
          </w:tcPr>
          <w:p w14:paraId="598C9324">
            <w:pPr>
              <w:widowControl/>
              <w:spacing w:line="0" w:lineRule="atLeast"/>
              <w:jc w:val="center"/>
              <w:rPr>
                <w:rFonts w:ascii="仿宋" w:hAnsi="仿宋" w:eastAsia="仿宋" w:cs="仿宋"/>
                <w:bCs/>
                <w:spacing w:val="-24"/>
                <w:kern w:val="0"/>
                <w:sz w:val="24"/>
              </w:rPr>
            </w:pPr>
            <w:r>
              <w:rPr>
                <w:rFonts w:hint="eastAsia" w:ascii="仿宋" w:hAnsi="仿宋" w:eastAsia="仿宋" w:cs="仿宋"/>
                <w:bCs/>
                <w:spacing w:val="-24"/>
                <w:kern w:val="0"/>
                <w:sz w:val="24"/>
              </w:rPr>
              <w:t>大气环境高排放重点管控区、水环境工业污染重点管控区、河北大名经济开发区西区-城西工业园、地下水开采重点管控区</w:t>
            </w:r>
          </w:p>
        </w:tc>
        <w:tc>
          <w:tcPr>
            <w:tcW w:w="908" w:type="dxa"/>
            <w:noWrap w:val="0"/>
            <w:vAlign w:val="center"/>
          </w:tcPr>
          <w:p w14:paraId="6CFAF0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232" w:type="dxa"/>
            <w:noWrap w:val="0"/>
            <w:vAlign w:val="center"/>
          </w:tcPr>
          <w:p w14:paraId="475657F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1.禁止高耗水行业入园。2.生物医药产业单独布局，防止交叉影响。3.禁止新建和扩建采用非清洁燃料的项目和设施。</w:t>
            </w:r>
            <w:r>
              <w:rPr>
                <w:rFonts w:hint="eastAsia" w:ascii="仿宋" w:hAnsi="仿宋" w:eastAsia="仿宋" w:cs="仿宋"/>
                <w:bCs/>
                <w:spacing w:val="-10"/>
                <w:kern w:val="0"/>
                <w:sz w:val="24"/>
                <w:lang w:val="en-US" w:eastAsia="zh-CN"/>
              </w:rPr>
              <w:t>4</w:t>
            </w:r>
            <w:r>
              <w:rPr>
                <w:rFonts w:hint="eastAsia" w:ascii="仿宋" w:hAnsi="仿宋" w:eastAsia="仿宋" w:cs="仿宋"/>
                <w:bCs/>
                <w:spacing w:val="-10"/>
                <w:kern w:val="0"/>
                <w:sz w:val="24"/>
              </w:rPr>
              <w:t>.严格地下水管理，地下水禁采区和地下水限采区内按照《河北省人民政府关于公布地下水超采区和禁止开采区、限制开采区范围的通知》（冀政字〔2022〕59号）要求执行。</w:t>
            </w:r>
          </w:p>
        </w:tc>
      </w:tr>
      <w:tr w14:paraId="156A5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3E5D3F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DC8F20E">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633F3CB5">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5DB67702">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5C395E57">
            <w:pPr>
              <w:widowControl/>
              <w:spacing w:line="0" w:lineRule="atLeast"/>
              <w:jc w:val="center"/>
              <w:rPr>
                <w:rFonts w:ascii="仿宋" w:hAnsi="仿宋" w:eastAsia="仿宋" w:cs="仿宋"/>
                <w:bCs/>
                <w:spacing w:val="-24"/>
                <w:kern w:val="0"/>
                <w:sz w:val="24"/>
              </w:rPr>
            </w:pPr>
          </w:p>
        </w:tc>
        <w:tc>
          <w:tcPr>
            <w:tcW w:w="908" w:type="dxa"/>
            <w:noWrap w:val="0"/>
            <w:vAlign w:val="center"/>
          </w:tcPr>
          <w:p w14:paraId="7BD639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232" w:type="dxa"/>
            <w:noWrap w:val="0"/>
            <w:vAlign w:val="center"/>
          </w:tcPr>
          <w:p w14:paraId="6BAF6F9A">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石油化工、原料药制造新建、改建、扩建项目新增主要污染物排放倍量替换。2.严禁开发区引进排水量大项目；现有企业控制污水产生量，能回用的首先在厂区内部循环使用，无法回用废水经预处理后再排入开发区污水处理厂。</w:t>
            </w:r>
          </w:p>
        </w:tc>
      </w:tr>
      <w:tr w14:paraId="3FFDF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58" w:hRule="atLeast"/>
          <w:jc w:val="center"/>
        </w:trPr>
        <w:tc>
          <w:tcPr>
            <w:tcW w:w="595" w:type="dxa"/>
            <w:vMerge w:val="continue"/>
            <w:noWrap w:val="0"/>
            <w:vAlign w:val="center"/>
          </w:tcPr>
          <w:p w14:paraId="622E5C1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117B8FE">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2688341F">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7E24D75D">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141B5A8F">
            <w:pPr>
              <w:widowControl/>
              <w:spacing w:line="0" w:lineRule="atLeast"/>
              <w:jc w:val="center"/>
              <w:rPr>
                <w:rFonts w:ascii="仿宋" w:hAnsi="仿宋" w:eastAsia="仿宋" w:cs="仿宋"/>
                <w:bCs/>
                <w:spacing w:val="-24"/>
                <w:kern w:val="0"/>
                <w:sz w:val="24"/>
              </w:rPr>
            </w:pPr>
          </w:p>
        </w:tc>
        <w:tc>
          <w:tcPr>
            <w:tcW w:w="908" w:type="dxa"/>
            <w:noWrap w:val="0"/>
            <w:vAlign w:val="center"/>
          </w:tcPr>
          <w:p w14:paraId="230942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232" w:type="dxa"/>
            <w:noWrap w:val="0"/>
            <w:vAlign w:val="center"/>
          </w:tcPr>
          <w:p w14:paraId="6F3F53F8">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1.禁止排放铅、镉重金属企业入园。2.开发区规划用地性质和用途不得擅自更改，防范人居环境风险。</w:t>
            </w:r>
          </w:p>
        </w:tc>
      </w:tr>
      <w:tr w14:paraId="4F073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7" w:hRule="atLeast"/>
          <w:jc w:val="center"/>
        </w:trPr>
        <w:tc>
          <w:tcPr>
            <w:tcW w:w="595" w:type="dxa"/>
            <w:vMerge w:val="continue"/>
            <w:noWrap w:val="0"/>
            <w:vAlign w:val="center"/>
          </w:tcPr>
          <w:p w14:paraId="17BD627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FC2C3C">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409FCB00">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611D2C55">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36FC6BF1">
            <w:pPr>
              <w:widowControl/>
              <w:spacing w:line="0" w:lineRule="atLeast"/>
              <w:jc w:val="center"/>
              <w:rPr>
                <w:rFonts w:ascii="仿宋" w:hAnsi="仿宋" w:eastAsia="仿宋" w:cs="仿宋"/>
                <w:bCs/>
                <w:spacing w:val="-24"/>
                <w:kern w:val="0"/>
                <w:sz w:val="24"/>
              </w:rPr>
            </w:pPr>
          </w:p>
        </w:tc>
        <w:tc>
          <w:tcPr>
            <w:tcW w:w="908" w:type="dxa"/>
            <w:noWrap w:val="0"/>
            <w:vAlign w:val="center"/>
          </w:tcPr>
          <w:p w14:paraId="48B6FF7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232" w:type="dxa"/>
            <w:noWrap w:val="0"/>
            <w:vAlign w:val="center"/>
          </w:tcPr>
          <w:p w14:paraId="3ABE4FEA">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集中供水实施后开发区禁止开采取用地下水，禁止新增取用地下水的项目，现有企业自备井全部取缔关停；新(改、扩)建项目单位产值水耗限值为2.147立方米/万元。2.污水处理厂尾水全部回用，不外排。3.建成集中供气设施，实现集中供气，使用清洁能源天然气。4.单位工业增加值能耗为0.017吨标准煤/万元。5.严格执行地下水禁止、限制开采管控要求。6.地下水开发利用应当以浅层地下水为主。深层地下水作为战略储备水源、应急供水水源、无替代水源地区的居民生活水源，应当严格限制开采。</w:t>
            </w:r>
          </w:p>
        </w:tc>
      </w:tr>
      <w:tr w14:paraId="46E15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16" w:hRule="atLeast"/>
          <w:jc w:val="center"/>
        </w:trPr>
        <w:tc>
          <w:tcPr>
            <w:tcW w:w="595" w:type="dxa"/>
            <w:vMerge w:val="restart"/>
            <w:noWrap w:val="0"/>
            <w:vAlign w:val="center"/>
          </w:tcPr>
          <w:p w14:paraId="00504AB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ZH13042520086</w:t>
            </w:r>
          </w:p>
        </w:tc>
        <w:tc>
          <w:tcPr>
            <w:tcW w:w="567" w:type="dxa"/>
            <w:vMerge w:val="restart"/>
            <w:noWrap w:val="0"/>
            <w:vAlign w:val="center"/>
          </w:tcPr>
          <w:p w14:paraId="6E4A7E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大名县</w:t>
            </w:r>
          </w:p>
        </w:tc>
        <w:tc>
          <w:tcPr>
            <w:tcW w:w="1086" w:type="dxa"/>
            <w:vMerge w:val="restart"/>
            <w:noWrap w:val="0"/>
            <w:vAlign w:val="center"/>
          </w:tcPr>
          <w:p w14:paraId="2BE05F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大街镇、大名镇、旧治乡、西未庄乡</w:t>
            </w:r>
          </w:p>
        </w:tc>
        <w:tc>
          <w:tcPr>
            <w:tcW w:w="636" w:type="dxa"/>
            <w:vMerge w:val="restart"/>
            <w:noWrap w:val="0"/>
            <w:vAlign w:val="center"/>
          </w:tcPr>
          <w:p w14:paraId="7E2DE0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重点管控区</w:t>
            </w:r>
          </w:p>
        </w:tc>
        <w:tc>
          <w:tcPr>
            <w:tcW w:w="877" w:type="dxa"/>
            <w:vMerge w:val="restart"/>
            <w:noWrap w:val="0"/>
            <w:vAlign w:val="center"/>
          </w:tcPr>
          <w:p w14:paraId="3B999CED">
            <w:pPr>
              <w:widowControl/>
              <w:spacing w:line="0" w:lineRule="atLeast"/>
              <w:jc w:val="center"/>
              <w:rPr>
                <w:rFonts w:ascii="仿宋" w:hAnsi="仿宋" w:eastAsia="仿宋" w:cs="仿宋"/>
                <w:bCs/>
                <w:spacing w:val="-24"/>
                <w:kern w:val="0"/>
                <w:sz w:val="24"/>
              </w:rPr>
            </w:pPr>
            <w:r>
              <w:rPr>
                <w:rFonts w:hint="eastAsia" w:ascii="仿宋" w:hAnsi="仿宋" w:eastAsia="仿宋" w:cs="仿宋"/>
                <w:bCs/>
                <w:spacing w:val="-24"/>
                <w:kern w:val="0"/>
                <w:sz w:val="24"/>
              </w:rPr>
              <w:t>大气环境高排放重点管控区、水环境工业污染重点管控区、河北大名经济开发区南区-京府工业城、地下水开采重点管控区</w:t>
            </w:r>
          </w:p>
        </w:tc>
        <w:tc>
          <w:tcPr>
            <w:tcW w:w="908" w:type="dxa"/>
            <w:noWrap w:val="0"/>
            <w:vAlign w:val="center"/>
          </w:tcPr>
          <w:p w14:paraId="516C78D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232" w:type="dxa"/>
            <w:noWrap w:val="0"/>
            <w:vAlign w:val="center"/>
          </w:tcPr>
          <w:p w14:paraId="61720034">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开发区东北侧侵占大名故城遗址一类和二类建设控制地带用地，严格按照相关规划要求加以保护，使工业区与故城遗址留有一定的距离加以隔离。2.严格地下水管理，地下水禁采区和地下水限采区内按照《河北省人民政府关于公布地下水超采区和禁止开采区、限制开采区范围的通知》（冀政字〔2022〕59号）要求执行。</w:t>
            </w:r>
          </w:p>
        </w:tc>
      </w:tr>
      <w:tr w14:paraId="20223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84" w:hRule="atLeast"/>
          <w:jc w:val="center"/>
        </w:trPr>
        <w:tc>
          <w:tcPr>
            <w:tcW w:w="595" w:type="dxa"/>
            <w:vMerge w:val="continue"/>
            <w:noWrap w:val="0"/>
            <w:vAlign w:val="center"/>
          </w:tcPr>
          <w:p w14:paraId="7DADA2C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8AC05AE">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1A415A63">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7A83F759">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2C1B0460">
            <w:pPr>
              <w:widowControl/>
              <w:spacing w:line="0" w:lineRule="atLeast"/>
              <w:jc w:val="center"/>
              <w:rPr>
                <w:rFonts w:ascii="仿宋" w:hAnsi="仿宋" w:eastAsia="仿宋" w:cs="仿宋"/>
                <w:bCs/>
                <w:spacing w:val="-10"/>
                <w:kern w:val="0"/>
                <w:sz w:val="24"/>
              </w:rPr>
            </w:pPr>
          </w:p>
        </w:tc>
        <w:tc>
          <w:tcPr>
            <w:tcW w:w="908" w:type="dxa"/>
            <w:noWrap w:val="0"/>
            <w:vAlign w:val="center"/>
          </w:tcPr>
          <w:p w14:paraId="74BCE6B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232" w:type="dxa"/>
            <w:noWrap w:val="0"/>
            <w:vAlign w:val="center"/>
          </w:tcPr>
          <w:p w14:paraId="3F03FFD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加强塑料等行业VOCs治理力度。重点提高涉VOCs排放主要工序密闭化水平，加强无组织排放收集，加大含VOCs物料储存和装卸治理力度。2.对存在环保问题的现有工业企业进行环保排查，按照环评建议要求其限期进行整改。</w:t>
            </w:r>
          </w:p>
        </w:tc>
      </w:tr>
      <w:tr w14:paraId="2965D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D8B745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4EAC3F2">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66FDC8D1">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78ED2A4A">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20CE3F01">
            <w:pPr>
              <w:widowControl/>
              <w:spacing w:line="0" w:lineRule="atLeast"/>
              <w:jc w:val="center"/>
              <w:rPr>
                <w:rFonts w:ascii="仿宋" w:hAnsi="仿宋" w:eastAsia="仿宋" w:cs="仿宋"/>
                <w:bCs/>
                <w:spacing w:val="-10"/>
                <w:kern w:val="0"/>
                <w:sz w:val="24"/>
              </w:rPr>
            </w:pPr>
          </w:p>
        </w:tc>
        <w:tc>
          <w:tcPr>
            <w:tcW w:w="908" w:type="dxa"/>
            <w:noWrap w:val="0"/>
            <w:vAlign w:val="center"/>
          </w:tcPr>
          <w:p w14:paraId="5215A8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232" w:type="dxa"/>
            <w:noWrap w:val="0"/>
            <w:vAlign w:val="center"/>
          </w:tcPr>
          <w:p w14:paraId="56C046E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1.开发区及入区企业需组织编制《环境风险应急预案》，成立应急组织机构，定期开展应急演练，提高区域环境风险防范能力。2.建立有效的事故风险防范体系，使开发区建设和环境保护协调发展。</w:t>
            </w:r>
          </w:p>
        </w:tc>
      </w:tr>
      <w:tr w14:paraId="521EE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0988D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C892BB5">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3B1B553C">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64638D2E">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45B50BE4">
            <w:pPr>
              <w:widowControl/>
              <w:spacing w:line="0" w:lineRule="atLeast"/>
              <w:jc w:val="center"/>
              <w:rPr>
                <w:rFonts w:ascii="仿宋" w:hAnsi="仿宋" w:eastAsia="仿宋" w:cs="仿宋"/>
                <w:bCs/>
                <w:spacing w:val="-10"/>
                <w:kern w:val="0"/>
                <w:sz w:val="24"/>
              </w:rPr>
            </w:pPr>
          </w:p>
        </w:tc>
        <w:tc>
          <w:tcPr>
            <w:tcW w:w="908" w:type="dxa"/>
            <w:noWrap w:val="0"/>
            <w:vAlign w:val="center"/>
          </w:tcPr>
          <w:p w14:paraId="30051A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232" w:type="dxa"/>
            <w:noWrap w:val="0"/>
            <w:vAlign w:val="center"/>
          </w:tcPr>
          <w:p w14:paraId="2D68ED4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单位工业增加值固体废物产生量≤0.1吨/万元。工业固体废物（含危险废物)处置利用率100%。工业固体废物综合利用率≥70%。2.单位工业增加值综合能耗≤0.5吨标准煤/万元。综合能耗弹性系数≤0.6。3.单位工业增加值新鲜水耗≤8立方米/万元。新鲜水耗弹性系数≤0.55，再生水回用率≥30%。4.地下水开发利用应当以浅层地下水为主。深层地下水作为战略储备水源、应急供水水源、无替代水源地区的居民生活水源，应当严格限制开采。</w:t>
            </w:r>
          </w:p>
        </w:tc>
      </w:tr>
      <w:tr w14:paraId="0F61A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926235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ZH13042520087</w:t>
            </w:r>
          </w:p>
        </w:tc>
        <w:tc>
          <w:tcPr>
            <w:tcW w:w="567" w:type="dxa"/>
            <w:vMerge w:val="restart"/>
            <w:noWrap w:val="0"/>
            <w:vAlign w:val="center"/>
          </w:tcPr>
          <w:p w14:paraId="656869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大名县</w:t>
            </w:r>
          </w:p>
        </w:tc>
        <w:tc>
          <w:tcPr>
            <w:tcW w:w="1086" w:type="dxa"/>
            <w:vMerge w:val="restart"/>
            <w:noWrap w:val="0"/>
            <w:vAlign w:val="center"/>
          </w:tcPr>
          <w:p w14:paraId="30B1F9A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万堤镇</w:t>
            </w:r>
          </w:p>
        </w:tc>
        <w:tc>
          <w:tcPr>
            <w:tcW w:w="636" w:type="dxa"/>
            <w:vMerge w:val="restart"/>
            <w:noWrap w:val="0"/>
            <w:vAlign w:val="center"/>
          </w:tcPr>
          <w:p w14:paraId="1A236BE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重点控制单元</w:t>
            </w:r>
          </w:p>
        </w:tc>
        <w:tc>
          <w:tcPr>
            <w:tcW w:w="877" w:type="dxa"/>
            <w:vMerge w:val="restart"/>
            <w:noWrap w:val="0"/>
            <w:vAlign w:val="center"/>
          </w:tcPr>
          <w:p w14:paraId="7740EAF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大气环境高排放重点管控区、水环境工业污染重点管控区、河北大名经济开发区北区-装备制造园、地下水开采重点管控区</w:t>
            </w:r>
          </w:p>
        </w:tc>
        <w:tc>
          <w:tcPr>
            <w:tcW w:w="908" w:type="dxa"/>
            <w:noWrap w:val="0"/>
            <w:vAlign w:val="center"/>
          </w:tcPr>
          <w:p w14:paraId="320A343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232" w:type="dxa"/>
            <w:noWrap w:val="0"/>
            <w:vAlign w:val="center"/>
          </w:tcPr>
          <w:p w14:paraId="3034667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不符合园区产业定位、污染物排放较大的行业；高水耗、高物耗、高能耗的项目，水的重复利用率低于75%的；废水含难降解的有机污染物、“三致”污染物及盐份含量较高的项目；废水经预处理达不到污水处理厂接管标准的项目；工艺废气中含有难处理的、有毒有害物质的项目；采用落后的生产工艺或生产设备，不符合国家相关产业政策、达不到规模经济的项目禁止入区。2.严格地下水管理，地下水禁采区和地下水限采区内按照《河北省人民政府关于公布地下水超采区和禁止开采区、限制开采区范围的通知》（冀政字〔2022〕59号）要求执行。</w:t>
            </w:r>
          </w:p>
        </w:tc>
      </w:tr>
      <w:tr w14:paraId="6B086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5EE825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C2A709">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79F69668">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4136AA74">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4BEA28EF">
            <w:pPr>
              <w:widowControl/>
              <w:spacing w:line="0" w:lineRule="atLeast"/>
              <w:jc w:val="center"/>
              <w:rPr>
                <w:rFonts w:ascii="仿宋" w:hAnsi="仿宋" w:eastAsia="仿宋" w:cs="仿宋"/>
                <w:bCs/>
                <w:spacing w:val="-10"/>
                <w:kern w:val="0"/>
                <w:sz w:val="24"/>
              </w:rPr>
            </w:pPr>
          </w:p>
        </w:tc>
        <w:tc>
          <w:tcPr>
            <w:tcW w:w="908" w:type="dxa"/>
            <w:noWrap w:val="0"/>
            <w:vAlign w:val="center"/>
          </w:tcPr>
          <w:p w14:paraId="4CA8D8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232" w:type="dxa"/>
            <w:noWrap w:val="0"/>
            <w:vAlign w:val="center"/>
          </w:tcPr>
          <w:p w14:paraId="18F2AF0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建立企业准入审核机制，严格把关，从源头保证企业污染物排放量配置的合理性。工业园区统一进行采暖、供热供汽，进入工业区的企业禁止自建燃煤锅炉。工业区空气质量按照《环境空气质量标准》（GB3095-2012）中的二级标准执行。2.工业炉窑污染物排放满足《工业炉窑大气污染物排放标准》（DB13/1640-2012）中的相应排放限值，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73297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9655C8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9841D2B">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20E36B6B">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1E3FC90B">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4913B239">
            <w:pPr>
              <w:widowControl/>
              <w:spacing w:line="0" w:lineRule="atLeast"/>
              <w:jc w:val="center"/>
              <w:rPr>
                <w:rFonts w:ascii="仿宋" w:hAnsi="仿宋" w:eastAsia="仿宋" w:cs="仿宋"/>
                <w:bCs/>
                <w:spacing w:val="-10"/>
                <w:kern w:val="0"/>
                <w:sz w:val="24"/>
              </w:rPr>
            </w:pPr>
          </w:p>
        </w:tc>
        <w:tc>
          <w:tcPr>
            <w:tcW w:w="908" w:type="dxa"/>
            <w:noWrap w:val="0"/>
            <w:vAlign w:val="center"/>
          </w:tcPr>
          <w:p w14:paraId="4C343F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232" w:type="dxa"/>
            <w:noWrap w:val="0"/>
            <w:vAlign w:val="center"/>
          </w:tcPr>
          <w:p w14:paraId="7250E40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园区应加强管理，严格落实规划环评及企业环评提出的风险防范措施，结合园区突发环境事件应急预案，进一步指导园区风险污染防控。</w:t>
            </w:r>
          </w:p>
        </w:tc>
      </w:tr>
      <w:tr w14:paraId="74D28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05" w:hRule="atLeast"/>
          <w:jc w:val="center"/>
        </w:trPr>
        <w:tc>
          <w:tcPr>
            <w:tcW w:w="595" w:type="dxa"/>
            <w:vMerge w:val="continue"/>
            <w:noWrap w:val="0"/>
            <w:vAlign w:val="center"/>
          </w:tcPr>
          <w:p w14:paraId="09F8574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770B087">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66473E8B">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27D56D63">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57A3CC98">
            <w:pPr>
              <w:widowControl/>
              <w:spacing w:line="0" w:lineRule="atLeast"/>
              <w:jc w:val="center"/>
              <w:rPr>
                <w:rFonts w:ascii="仿宋" w:hAnsi="仿宋" w:eastAsia="仿宋" w:cs="仿宋"/>
                <w:bCs/>
                <w:spacing w:val="-10"/>
                <w:kern w:val="0"/>
                <w:sz w:val="24"/>
              </w:rPr>
            </w:pPr>
          </w:p>
        </w:tc>
        <w:tc>
          <w:tcPr>
            <w:tcW w:w="908" w:type="dxa"/>
            <w:noWrap w:val="0"/>
            <w:vAlign w:val="center"/>
          </w:tcPr>
          <w:p w14:paraId="62FFC68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232" w:type="dxa"/>
            <w:noWrap w:val="0"/>
            <w:vAlign w:val="center"/>
          </w:tcPr>
          <w:p w14:paraId="5581608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推广节能技术，实施建筑节能和推广采暖供热系统节能措施及鼓励单位采用节能工艺，降低能耗。2.通过节能建筑的推广，能够降低产业园的供电及供电负荷，从而节约能源及水资源。园区内提倡“健康、低碳”生活方式。3.地下水开发利用应当以浅层地下水为主。深层地下水作为战略储备水源、应急供水水源、无替代水源地区的居民生活水源，应当严格限制开采。</w:t>
            </w:r>
          </w:p>
        </w:tc>
      </w:tr>
      <w:tr w14:paraId="50AC5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A53597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ZH13042520088</w:t>
            </w:r>
          </w:p>
        </w:tc>
        <w:tc>
          <w:tcPr>
            <w:tcW w:w="567" w:type="dxa"/>
            <w:vMerge w:val="restart"/>
            <w:noWrap w:val="0"/>
            <w:vAlign w:val="center"/>
          </w:tcPr>
          <w:p w14:paraId="1F2F0D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大名县</w:t>
            </w:r>
          </w:p>
        </w:tc>
        <w:tc>
          <w:tcPr>
            <w:tcW w:w="1086" w:type="dxa"/>
            <w:vMerge w:val="restart"/>
            <w:noWrap w:val="0"/>
            <w:vAlign w:val="center"/>
          </w:tcPr>
          <w:p w14:paraId="7DA7CF7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大名镇、杨桥镇、万堤镇、金滩镇、沙圪塔镇、大街镇、铺上镇、王村乡、黄金堤乡、旧治乡、西未庄乡、红庙乡、营镇回族乡</w:t>
            </w:r>
          </w:p>
        </w:tc>
        <w:tc>
          <w:tcPr>
            <w:tcW w:w="636" w:type="dxa"/>
            <w:vMerge w:val="restart"/>
            <w:noWrap w:val="0"/>
            <w:vAlign w:val="center"/>
          </w:tcPr>
          <w:p w14:paraId="010D059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77" w:type="dxa"/>
            <w:vMerge w:val="restart"/>
            <w:noWrap w:val="0"/>
            <w:vAlign w:val="center"/>
          </w:tcPr>
          <w:p w14:paraId="2479683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大气环境受体敏感重点管控区、地下水开采重点管控区</w:t>
            </w:r>
          </w:p>
        </w:tc>
        <w:tc>
          <w:tcPr>
            <w:tcW w:w="908" w:type="dxa"/>
            <w:noWrap w:val="0"/>
            <w:vAlign w:val="center"/>
          </w:tcPr>
          <w:p w14:paraId="439696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232" w:type="dxa"/>
            <w:noWrap w:val="0"/>
            <w:vAlign w:val="center"/>
          </w:tcPr>
          <w:p w14:paraId="0BAC644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粘土砖瓦及建筑砌块制造准入满足《河北省墙体材料产业调整导向目录》的相关要求。2.加强塑料等行业VOCs治理力度。重点提高涉VOCs排放主要工序密闭化水平，加强无组织排放收集，加大含VOCs物料储存和装卸治理力度。3.满足《河北省大运河文化保护传承利用实施规划-生态环境保护修复专项规划》《河北省大运河文化保护传承利用生态环境保护修复专项规划实施方案》中相应要求。4、严格地下水管理，地下水禁采区和地下水限采区内按照《河北省人民政府关于公布地下水超采区和禁止开采区、限制开采区范围的通知》（冀政字〔2022〕59号）要求执行。5.项目建设应考虑对周边敏感区的环境影响。</w:t>
            </w:r>
          </w:p>
        </w:tc>
      </w:tr>
      <w:tr w14:paraId="56AC4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60298B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333775E">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6987C8E7">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668DA09B">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65BEFB0A">
            <w:pPr>
              <w:widowControl/>
              <w:spacing w:line="0" w:lineRule="atLeast"/>
              <w:jc w:val="center"/>
              <w:rPr>
                <w:rFonts w:ascii="仿宋" w:hAnsi="仿宋" w:eastAsia="仿宋" w:cs="仿宋"/>
                <w:bCs/>
                <w:spacing w:val="-10"/>
                <w:kern w:val="0"/>
                <w:sz w:val="24"/>
              </w:rPr>
            </w:pPr>
          </w:p>
        </w:tc>
        <w:tc>
          <w:tcPr>
            <w:tcW w:w="908" w:type="dxa"/>
            <w:noWrap w:val="0"/>
            <w:vAlign w:val="center"/>
          </w:tcPr>
          <w:p w14:paraId="467C2B6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232" w:type="dxa"/>
            <w:noWrap w:val="0"/>
            <w:vAlign w:val="center"/>
          </w:tcPr>
          <w:p w14:paraId="48DCF3E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重点提高涉VOCs排放主要工序密闭化水平，加强无组织排放收集，加大含VOCs物料储存和装卸治理力度。2.粘土砖瓦及建筑砌块制造行业污染物排放满足《砖瓦工业大气污染物排放标准》(GB29620-2013)相应排放限值要求。</w:t>
            </w:r>
          </w:p>
        </w:tc>
      </w:tr>
      <w:tr w14:paraId="051EB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41" w:hRule="atLeast"/>
          <w:jc w:val="center"/>
        </w:trPr>
        <w:tc>
          <w:tcPr>
            <w:tcW w:w="595" w:type="dxa"/>
            <w:vMerge w:val="continue"/>
            <w:noWrap w:val="0"/>
            <w:vAlign w:val="center"/>
          </w:tcPr>
          <w:p w14:paraId="74F6261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6202F13">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4A6D22F3">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407E6D03">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69490CD5">
            <w:pPr>
              <w:widowControl/>
              <w:spacing w:line="0" w:lineRule="atLeast"/>
              <w:jc w:val="center"/>
              <w:rPr>
                <w:rFonts w:ascii="仿宋" w:hAnsi="仿宋" w:eastAsia="仿宋" w:cs="仿宋"/>
                <w:bCs/>
                <w:spacing w:val="-10"/>
                <w:kern w:val="0"/>
                <w:sz w:val="24"/>
              </w:rPr>
            </w:pPr>
          </w:p>
        </w:tc>
        <w:tc>
          <w:tcPr>
            <w:tcW w:w="908" w:type="dxa"/>
            <w:noWrap w:val="0"/>
            <w:vAlign w:val="center"/>
          </w:tcPr>
          <w:p w14:paraId="6E496C3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232" w:type="dxa"/>
            <w:noWrap w:val="0"/>
            <w:vAlign w:val="center"/>
          </w:tcPr>
          <w:p w14:paraId="31372F0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szCs w:val="24"/>
              </w:rPr>
              <w:t>1.</w:t>
            </w:r>
            <w:r>
              <w:rPr>
                <w:rFonts w:hint="eastAsia" w:ascii="仿宋" w:hAnsi="仿宋" w:eastAsia="仿宋" w:cs="仿宋"/>
                <w:color w:val="auto"/>
                <w:spacing w:val="-10"/>
                <w:kern w:val="2"/>
                <w:sz w:val="24"/>
                <w:szCs w:val="24"/>
                <w:lang w:eastAsia="zh-CN"/>
              </w:rPr>
              <w:t>定期对土壤污染重点监管单位和地下水污染防治重点排污单位名录周边土壤、地下水开展监督性监测</w:t>
            </w:r>
            <w:r>
              <w:rPr>
                <w:rFonts w:hint="eastAsia" w:ascii="仿宋" w:hAnsi="仿宋" w:eastAsia="仿宋" w:cs="仿宋"/>
                <w:bCs/>
                <w:spacing w:val="-10"/>
                <w:kern w:val="0"/>
                <w:sz w:val="24"/>
              </w:rPr>
              <w:t>2.生产、储存危险化学品的企业事业单位，应当采取措施，防止消防废水、废液直接排入水体。3.发生突发事件可能造成土壤污染的，应当立即采取应急措施，防止土壤污染，并做好土壤污染状况监测、调查和土壤污染风险评估、风险管控、修复等工作。</w:t>
            </w:r>
          </w:p>
        </w:tc>
      </w:tr>
      <w:tr w14:paraId="698D5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56" w:hRule="atLeast"/>
          <w:jc w:val="center"/>
        </w:trPr>
        <w:tc>
          <w:tcPr>
            <w:tcW w:w="595" w:type="dxa"/>
            <w:vMerge w:val="continue"/>
            <w:noWrap w:val="0"/>
            <w:vAlign w:val="center"/>
          </w:tcPr>
          <w:p w14:paraId="4216A79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7516619">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1CFBB381">
            <w:pPr>
              <w:widowControl/>
              <w:spacing w:line="0" w:lineRule="atLeast"/>
              <w:jc w:val="center"/>
              <w:rPr>
                <w:rFonts w:ascii="仿宋" w:hAnsi="仿宋" w:eastAsia="仿宋" w:cs="仿宋"/>
                <w:bCs/>
                <w:spacing w:val="-10"/>
                <w:kern w:val="0"/>
                <w:sz w:val="24"/>
              </w:rPr>
            </w:pPr>
          </w:p>
        </w:tc>
        <w:tc>
          <w:tcPr>
            <w:tcW w:w="636" w:type="dxa"/>
            <w:vMerge w:val="continue"/>
            <w:noWrap w:val="0"/>
            <w:vAlign w:val="center"/>
          </w:tcPr>
          <w:p w14:paraId="7CAB52AC">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4630A63C">
            <w:pPr>
              <w:widowControl/>
              <w:spacing w:line="0" w:lineRule="atLeast"/>
              <w:jc w:val="center"/>
              <w:rPr>
                <w:rFonts w:ascii="仿宋" w:hAnsi="仿宋" w:eastAsia="仿宋" w:cs="仿宋"/>
                <w:bCs/>
                <w:spacing w:val="-10"/>
                <w:kern w:val="0"/>
                <w:sz w:val="24"/>
              </w:rPr>
            </w:pPr>
          </w:p>
        </w:tc>
        <w:tc>
          <w:tcPr>
            <w:tcW w:w="908" w:type="dxa"/>
            <w:noWrap w:val="0"/>
            <w:vAlign w:val="center"/>
          </w:tcPr>
          <w:p w14:paraId="2982CC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232" w:type="dxa"/>
            <w:noWrap w:val="0"/>
            <w:vAlign w:val="center"/>
          </w:tcPr>
          <w:p w14:paraId="23665FE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72604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5D41C8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ZH13042530088</w:t>
            </w:r>
          </w:p>
        </w:tc>
        <w:tc>
          <w:tcPr>
            <w:tcW w:w="567" w:type="dxa"/>
            <w:vMerge w:val="restart"/>
            <w:noWrap w:val="0"/>
            <w:vAlign w:val="center"/>
          </w:tcPr>
          <w:p w14:paraId="01C1F8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大名县</w:t>
            </w:r>
          </w:p>
        </w:tc>
        <w:tc>
          <w:tcPr>
            <w:tcW w:w="1086" w:type="dxa"/>
            <w:vMerge w:val="restart"/>
            <w:noWrap w:val="0"/>
            <w:vAlign w:val="center"/>
          </w:tcPr>
          <w:p w14:paraId="42A535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大名镇、杨桥镇、万堤镇、金滩镇、沙圪塔镇、大街镇、铺上镇、王村乡、黄金堤乡、旧治乡、西未庄乡、红庙乡、营镇回族乡、龙王庙镇、束馆镇、孙甘店镇、西付集乡、埝头乡、北峰、张铁集乡</w:t>
            </w:r>
          </w:p>
        </w:tc>
        <w:tc>
          <w:tcPr>
            <w:tcW w:w="636" w:type="dxa"/>
            <w:vMerge w:val="restart"/>
            <w:noWrap w:val="0"/>
            <w:vAlign w:val="center"/>
          </w:tcPr>
          <w:p w14:paraId="7AC8817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77" w:type="dxa"/>
            <w:vMerge w:val="restart"/>
            <w:noWrap w:val="0"/>
            <w:vAlign w:val="center"/>
          </w:tcPr>
          <w:p w14:paraId="2435AE8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908" w:type="dxa"/>
            <w:noWrap w:val="0"/>
            <w:vAlign w:val="center"/>
          </w:tcPr>
          <w:p w14:paraId="3FFBF7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232" w:type="dxa"/>
            <w:noWrap w:val="0"/>
            <w:vAlign w:val="center"/>
          </w:tcPr>
          <w:p w14:paraId="68AA245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粘土砖瓦及建筑砌块制造准入满足《河北省墙体材料产业调整导向目录》的相关要求。2.加强塑料等行业VOCs治理力度。重点提高涉VOCs排放主要工序密闭化水平，加强无组织排放收集，加大含VOCs物料储存和装卸治理力度。3.满足《河北省大运河文化保护传承利用实施规划-生态环境保护修复专项规划》《河北省大运河文化保护传承利用生态环境保护修复专项规划实施方案》中相应要求。</w:t>
            </w:r>
          </w:p>
        </w:tc>
      </w:tr>
      <w:tr w14:paraId="1DC73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C130EE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FF164F2">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3BE22FC9">
            <w:pPr>
              <w:widowControl/>
              <w:spacing w:line="0" w:lineRule="atLeast"/>
              <w:rPr>
                <w:rFonts w:ascii="仿宋" w:hAnsi="仿宋" w:eastAsia="仿宋" w:cs="仿宋"/>
                <w:bCs/>
                <w:spacing w:val="-10"/>
                <w:kern w:val="0"/>
                <w:sz w:val="24"/>
              </w:rPr>
            </w:pPr>
          </w:p>
        </w:tc>
        <w:tc>
          <w:tcPr>
            <w:tcW w:w="636" w:type="dxa"/>
            <w:vMerge w:val="continue"/>
            <w:noWrap w:val="0"/>
            <w:vAlign w:val="center"/>
          </w:tcPr>
          <w:p w14:paraId="4E17AC53">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548434C0">
            <w:pPr>
              <w:widowControl/>
              <w:spacing w:line="0" w:lineRule="atLeast"/>
              <w:jc w:val="center"/>
              <w:rPr>
                <w:rFonts w:ascii="仿宋" w:hAnsi="仿宋" w:eastAsia="仿宋" w:cs="仿宋"/>
                <w:bCs/>
                <w:spacing w:val="-10"/>
                <w:kern w:val="0"/>
                <w:sz w:val="24"/>
              </w:rPr>
            </w:pPr>
          </w:p>
        </w:tc>
        <w:tc>
          <w:tcPr>
            <w:tcW w:w="908" w:type="dxa"/>
            <w:noWrap w:val="0"/>
            <w:vAlign w:val="center"/>
          </w:tcPr>
          <w:p w14:paraId="5EFC40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232" w:type="dxa"/>
            <w:noWrap w:val="0"/>
            <w:vAlign w:val="center"/>
          </w:tcPr>
          <w:p w14:paraId="5D7267C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重点提高涉VOCs排放主要工序密闭化水平，加强无组织排放收集，加大含VOCs物料储存和装卸治理力度。2.粘土砖瓦及建筑砌块制造行业污染物排放满足《砖瓦工业大气污染物排放标准》(GB29620-2013)相应排放限值要求。</w:t>
            </w:r>
          </w:p>
        </w:tc>
      </w:tr>
      <w:tr w14:paraId="2C04E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D910EB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D69844D">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407027C6">
            <w:pPr>
              <w:widowControl/>
              <w:spacing w:line="0" w:lineRule="atLeast"/>
              <w:rPr>
                <w:rFonts w:ascii="仿宋" w:hAnsi="仿宋" w:eastAsia="仿宋" w:cs="仿宋"/>
                <w:bCs/>
                <w:spacing w:val="-10"/>
                <w:kern w:val="0"/>
                <w:sz w:val="24"/>
              </w:rPr>
            </w:pPr>
          </w:p>
        </w:tc>
        <w:tc>
          <w:tcPr>
            <w:tcW w:w="636" w:type="dxa"/>
            <w:vMerge w:val="continue"/>
            <w:noWrap w:val="0"/>
            <w:vAlign w:val="center"/>
          </w:tcPr>
          <w:p w14:paraId="629A0925">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70FA050A">
            <w:pPr>
              <w:widowControl/>
              <w:spacing w:line="0" w:lineRule="atLeast"/>
              <w:jc w:val="center"/>
              <w:rPr>
                <w:rFonts w:ascii="仿宋" w:hAnsi="仿宋" w:eastAsia="仿宋" w:cs="仿宋"/>
                <w:bCs/>
                <w:spacing w:val="-10"/>
                <w:kern w:val="0"/>
                <w:sz w:val="24"/>
              </w:rPr>
            </w:pPr>
          </w:p>
        </w:tc>
        <w:tc>
          <w:tcPr>
            <w:tcW w:w="908" w:type="dxa"/>
            <w:noWrap w:val="0"/>
            <w:vAlign w:val="center"/>
          </w:tcPr>
          <w:p w14:paraId="318D5D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232" w:type="dxa"/>
            <w:noWrap w:val="0"/>
            <w:vAlign w:val="center"/>
          </w:tcPr>
          <w:p w14:paraId="34C3736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szCs w:val="24"/>
              </w:rPr>
              <w:t>1.</w:t>
            </w:r>
            <w:r>
              <w:rPr>
                <w:rFonts w:hint="eastAsia" w:ascii="仿宋" w:hAnsi="仿宋" w:eastAsia="仿宋" w:cs="仿宋"/>
                <w:color w:val="auto"/>
                <w:spacing w:val="-10"/>
                <w:kern w:val="2"/>
                <w:sz w:val="24"/>
                <w:szCs w:val="24"/>
                <w:lang w:eastAsia="zh-CN"/>
              </w:rPr>
              <w:t>定期对土壤污染重点监管单位和地下水污染防治重点排污单位名录周边土壤、地下水开展监督性监测。</w:t>
            </w:r>
            <w:r>
              <w:rPr>
                <w:rFonts w:hint="eastAsia" w:ascii="仿宋" w:hAnsi="仿宋" w:eastAsia="仿宋" w:cs="仿宋"/>
                <w:bCs/>
                <w:spacing w:val="-10"/>
                <w:kern w:val="0"/>
                <w:sz w:val="24"/>
              </w:rPr>
              <w:t>2.生产、储存危险化学品的企业事业单位，应当采取措施，防止消防废水、废液直接排入水体。3.发生突发事件可能造成土壤污染的，应当立即采取应急措施，防止土壤污染，并做好土壤污染状况监测、调查和土壤污染风险评估、风险管控、修复等工作。</w:t>
            </w:r>
          </w:p>
        </w:tc>
      </w:tr>
      <w:tr w14:paraId="21C61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8478A3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16A6C24">
            <w:pPr>
              <w:widowControl/>
              <w:spacing w:line="0" w:lineRule="atLeast"/>
              <w:jc w:val="center"/>
              <w:rPr>
                <w:rFonts w:ascii="仿宋" w:hAnsi="仿宋" w:eastAsia="仿宋" w:cs="仿宋"/>
                <w:bCs/>
                <w:spacing w:val="-10"/>
                <w:kern w:val="0"/>
                <w:sz w:val="24"/>
              </w:rPr>
            </w:pPr>
          </w:p>
        </w:tc>
        <w:tc>
          <w:tcPr>
            <w:tcW w:w="1086" w:type="dxa"/>
            <w:vMerge w:val="continue"/>
            <w:noWrap w:val="0"/>
            <w:vAlign w:val="center"/>
          </w:tcPr>
          <w:p w14:paraId="7F5C4CFC">
            <w:pPr>
              <w:widowControl/>
              <w:spacing w:line="0" w:lineRule="atLeast"/>
              <w:rPr>
                <w:rFonts w:ascii="仿宋" w:hAnsi="仿宋" w:eastAsia="仿宋" w:cs="仿宋"/>
                <w:bCs/>
                <w:spacing w:val="-10"/>
                <w:kern w:val="0"/>
                <w:sz w:val="24"/>
              </w:rPr>
            </w:pPr>
          </w:p>
        </w:tc>
        <w:tc>
          <w:tcPr>
            <w:tcW w:w="636" w:type="dxa"/>
            <w:vMerge w:val="continue"/>
            <w:noWrap w:val="0"/>
            <w:vAlign w:val="center"/>
          </w:tcPr>
          <w:p w14:paraId="7F392192">
            <w:pPr>
              <w:widowControl/>
              <w:spacing w:line="0" w:lineRule="atLeast"/>
              <w:jc w:val="center"/>
              <w:rPr>
                <w:rFonts w:ascii="仿宋" w:hAnsi="仿宋" w:eastAsia="仿宋" w:cs="仿宋"/>
                <w:bCs/>
                <w:spacing w:val="-10"/>
                <w:kern w:val="0"/>
                <w:sz w:val="24"/>
              </w:rPr>
            </w:pPr>
          </w:p>
        </w:tc>
        <w:tc>
          <w:tcPr>
            <w:tcW w:w="877" w:type="dxa"/>
            <w:vMerge w:val="continue"/>
            <w:noWrap w:val="0"/>
            <w:vAlign w:val="center"/>
          </w:tcPr>
          <w:p w14:paraId="58DDD89E">
            <w:pPr>
              <w:widowControl/>
              <w:spacing w:line="0" w:lineRule="atLeast"/>
              <w:jc w:val="center"/>
              <w:rPr>
                <w:rFonts w:ascii="仿宋" w:hAnsi="仿宋" w:eastAsia="仿宋" w:cs="仿宋"/>
                <w:bCs/>
                <w:spacing w:val="-10"/>
                <w:kern w:val="0"/>
                <w:sz w:val="24"/>
              </w:rPr>
            </w:pPr>
          </w:p>
        </w:tc>
        <w:tc>
          <w:tcPr>
            <w:tcW w:w="908" w:type="dxa"/>
            <w:noWrap w:val="0"/>
            <w:vAlign w:val="center"/>
          </w:tcPr>
          <w:p w14:paraId="7FE627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232" w:type="dxa"/>
            <w:noWrap w:val="0"/>
            <w:vAlign w:val="center"/>
          </w:tcPr>
          <w:p w14:paraId="7EC0B7D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bl>
    <w:p w14:paraId="670C004F">
      <w:pPr>
        <w:pStyle w:val="10"/>
        <w:numPr>
          <w:ilvl w:val="1"/>
          <w:numId w:val="0"/>
        </w:numPr>
        <w:spacing w:beforeLines="50"/>
        <w:ind w:firstLine="420" w:firstLineChars="200"/>
        <w:outlineLvl w:val="1"/>
        <w:rPr>
          <w:rFonts w:ascii="仿宋" w:hAnsi="仿宋" w:eastAsia="仿宋" w:cs="仿宋"/>
          <w:b/>
          <w:sz w:val="28"/>
          <w:szCs w:val="18"/>
        </w:rPr>
      </w:pPr>
      <w:r>
        <w:rPr>
          <w:rFonts w:hint="eastAsia" w:ascii="仿宋" w:hAnsi="仿宋" w:eastAsia="仿宋" w:cs="仿宋"/>
        </w:rPr>
        <w:br w:type="page"/>
      </w:r>
      <w:r>
        <w:rPr>
          <w:rFonts w:hint="eastAsia" w:ascii="仿宋" w:hAnsi="仿宋" w:eastAsia="仿宋" w:cs="仿宋"/>
          <w:bCs/>
          <w:sz w:val="32"/>
          <w:szCs w:val="32"/>
        </w:rPr>
        <w:t>（十）涉县生态环境准入清单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58"/>
        <w:gridCol w:w="685"/>
        <w:gridCol w:w="851"/>
        <w:gridCol w:w="850"/>
        <w:gridCol w:w="4195"/>
      </w:tblGrid>
      <w:tr w14:paraId="47B0B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6304845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35E51F7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58" w:type="dxa"/>
            <w:shd w:val="clear" w:color="auto" w:fill="D7D7D7"/>
            <w:noWrap w:val="0"/>
            <w:vAlign w:val="center"/>
          </w:tcPr>
          <w:p w14:paraId="5D15B69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685" w:type="dxa"/>
            <w:shd w:val="clear" w:color="auto" w:fill="D7D7D7"/>
            <w:noWrap w:val="0"/>
            <w:vAlign w:val="center"/>
          </w:tcPr>
          <w:p w14:paraId="037BE7B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67EC77F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1D26E83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2968C53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74000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16E76F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ZH13042610088</w:t>
            </w:r>
          </w:p>
        </w:tc>
        <w:tc>
          <w:tcPr>
            <w:tcW w:w="567" w:type="dxa"/>
            <w:vMerge w:val="restart"/>
            <w:noWrap w:val="0"/>
            <w:vAlign w:val="center"/>
          </w:tcPr>
          <w:p w14:paraId="2B0834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79DA3AE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西戌镇、井店镇、西达镇、偏店乡、龙虎乡、木井乡、鹿头乡</w:t>
            </w:r>
          </w:p>
        </w:tc>
        <w:tc>
          <w:tcPr>
            <w:tcW w:w="685" w:type="dxa"/>
            <w:vMerge w:val="restart"/>
            <w:noWrap w:val="0"/>
            <w:vAlign w:val="center"/>
          </w:tcPr>
          <w:p w14:paraId="623ED5E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1E5E34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w:t>
            </w:r>
          </w:p>
        </w:tc>
        <w:tc>
          <w:tcPr>
            <w:tcW w:w="850" w:type="dxa"/>
            <w:noWrap w:val="0"/>
            <w:vAlign w:val="center"/>
          </w:tcPr>
          <w:p w14:paraId="72E929A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C0691E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按照总体准入的生态空间总体管控要求中水源涵养、水土保持相应管控要求执行。</w:t>
            </w:r>
          </w:p>
        </w:tc>
      </w:tr>
      <w:tr w14:paraId="712D1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A69857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4763567">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4E5DF72C">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4DC2618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DC143BD">
            <w:pPr>
              <w:widowControl/>
              <w:spacing w:line="0" w:lineRule="atLeast"/>
              <w:jc w:val="center"/>
              <w:rPr>
                <w:rFonts w:ascii="仿宋" w:hAnsi="仿宋" w:eastAsia="仿宋" w:cs="仿宋"/>
                <w:bCs/>
                <w:spacing w:val="-10"/>
                <w:kern w:val="0"/>
                <w:sz w:val="24"/>
              </w:rPr>
            </w:pPr>
          </w:p>
        </w:tc>
        <w:tc>
          <w:tcPr>
            <w:tcW w:w="850" w:type="dxa"/>
            <w:noWrap w:val="0"/>
            <w:vAlign w:val="center"/>
          </w:tcPr>
          <w:p w14:paraId="1A57D9C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11B67C9">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满足《中华人民共和国水污染防治法》相关要求。</w:t>
            </w:r>
          </w:p>
        </w:tc>
      </w:tr>
      <w:tr w14:paraId="2D00A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23D18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19F9192">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562FF481">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1FE1175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E9771D7">
            <w:pPr>
              <w:widowControl/>
              <w:spacing w:line="0" w:lineRule="atLeast"/>
              <w:jc w:val="center"/>
              <w:rPr>
                <w:rFonts w:ascii="仿宋" w:hAnsi="仿宋" w:eastAsia="仿宋" w:cs="仿宋"/>
                <w:bCs/>
                <w:spacing w:val="-10"/>
                <w:kern w:val="0"/>
                <w:sz w:val="24"/>
              </w:rPr>
            </w:pPr>
          </w:p>
        </w:tc>
        <w:tc>
          <w:tcPr>
            <w:tcW w:w="850" w:type="dxa"/>
            <w:noWrap w:val="0"/>
            <w:vAlign w:val="center"/>
          </w:tcPr>
          <w:p w14:paraId="276739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7E46E7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3BEFA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4" w:hRule="atLeast"/>
          <w:jc w:val="center"/>
        </w:trPr>
        <w:tc>
          <w:tcPr>
            <w:tcW w:w="595" w:type="dxa"/>
            <w:vMerge w:val="continue"/>
            <w:noWrap w:val="0"/>
            <w:vAlign w:val="center"/>
          </w:tcPr>
          <w:p w14:paraId="48D7F12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F80A56F">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2C6377F1">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64BC75B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56D6199">
            <w:pPr>
              <w:widowControl/>
              <w:spacing w:line="0" w:lineRule="atLeast"/>
              <w:jc w:val="center"/>
              <w:rPr>
                <w:rFonts w:ascii="仿宋" w:hAnsi="仿宋" w:eastAsia="仿宋" w:cs="仿宋"/>
                <w:bCs/>
                <w:spacing w:val="-10"/>
                <w:kern w:val="0"/>
                <w:sz w:val="24"/>
              </w:rPr>
            </w:pPr>
          </w:p>
        </w:tc>
        <w:tc>
          <w:tcPr>
            <w:tcW w:w="850" w:type="dxa"/>
            <w:noWrap w:val="0"/>
            <w:vAlign w:val="center"/>
          </w:tcPr>
          <w:p w14:paraId="0AE290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636222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432E7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D91C4C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ZH13042610089</w:t>
            </w:r>
          </w:p>
        </w:tc>
        <w:tc>
          <w:tcPr>
            <w:tcW w:w="567" w:type="dxa"/>
            <w:vMerge w:val="restart"/>
            <w:noWrap w:val="0"/>
            <w:vAlign w:val="center"/>
          </w:tcPr>
          <w:p w14:paraId="360395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3EF950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更乐镇、固新镇、关防乡、合漳乡、河南店镇、井店镇、辽城乡、龙虎乡、鹿头乡、木井乡、偏城镇、偏店乡、平安街道办事处、神头乡、索堡镇、西达镇、西戌镇</w:t>
            </w:r>
          </w:p>
        </w:tc>
        <w:tc>
          <w:tcPr>
            <w:tcW w:w="685" w:type="dxa"/>
            <w:vMerge w:val="restart"/>
            <w:noWrap w:val="0"/>
            <w:vAlign w:val="center"/>
          </w:tcPr>
          <w:p w14:paraId="72B8BD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3BB7DD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w:t>
            </w:r>
          </w:p>
        </w:tc>
        <w:tc>
          <w:tcPr>
            <w:tcW w:w="850" w:type="dxa"/>
            <w:noWrap w:val="0"/>
            <w:vAlign w:val="center"/>
          </w:tcPr>
          <w:p w14:paraId="13464B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0E6367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按照总体准入的生态空间总体管控要求中水源涵养、水土保持相应管控要求执行。</w:t>
            </w:r>
          </w:p>
        </w:tc>
      </w:tr>
      <w:tr w14:paraId="0DD68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44F345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91CFE99">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5935E876">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0BDA3A8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AE5C958">
            <w:pPr>
              <w:widowControl/>
              <w:spacing w:line="0" w:lineRule="atLeast"/>
              <w:jc w:val="center"/>
              <w:rPr>
                <w:rFonts w:ascii="仿宋" w:hAnsi="仿宋" w:eastAsia="仿宋" w:cs="仿宋"/>
                <w:bCs/>
                <w:spacing w:val="-10"/>
                <w:kern w:val="0"/>
                <w:sz w:val="24"/>
              </w:rPr>
            </w:pPr>
          </w:p>
        </w:tc>
        <w:tc>
          <w:tcPr>
            <w:tcW w:w="850" w:type="dxa"/>
            <w:noWrap w:val="0"/>
            <w:vAlign w:val="center"/>
          </w:tcPr>
          <w:p w14:paraId="4EB7B4E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7DF007B">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满足《中华人民共和国水污染防治法》相关要求。</w:t>
            </w:r>
          </w:p>
        </w:tc>
      </w:tr>
      <w:tr w14:paraId="2190E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5F6C8F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E0B2FF3">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629607BE">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610CCB8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BAD4039">
            <w:pPr>
              <w:widowControl/>
              <w:spacing w:line="0" w:lineRule="atLeast"/>
              <w:jc w:val="center"/>
              <w:rPr>
                <w:rFonts w:ascii="仿宋" w:hAnsi="仿宋" w:eastAsia="仿宋" w:cs="仿宋"/>
                <w:bCs/>
                <w:spacing w:val="-10"/>
                <w:kern w:val="0"/>
                <w:sz w:val="24"/>
              </w:rPr>
            </w:pPr>
          </w:p>
        </w:tc>
        <w:tc>
          <w:tcPr>
            <w:tcW w:w="850" w:type="dxa"/>
            <w:noWrap w:val="0"/>
            <w:vAlign w:val="center"/>
          </w:tcPr>
          <w:p w14:paraId="342814A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AB9E13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81B3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94" w:hRule="atLeast"/>
          <w:jc w:val="center"/>
        </w:trPr>
        <w:tc>
          <w:tcPr>
            <w:tcW w:w="595" w:type="dxa"/>
            <w:vMerge w:val="continue"/>
            <w:noWrap w:val="0"/>
            <w:vAlign w:val="center"/>
          </w:tcPr>
          <w:p w14:paraId="1906286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9E51CF9">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4A193434">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5F53F09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A5C8F69">
            <w:pPr>
              <w:widowControl/>
              <w:spacing w:line="0" w:lineRule="atLeast"/>
              <w:jc w:val="center"/>
              <w:rPr>
                <w:rFonts w:ascii="仿宋" w:hAnsi="仿宋" w:eastAsia="仿宋" w:cs="仿宋"/>
                <w:bCs/>
                <w:spacing w:val="-10"/>
                <w:kern w:val="0"/>
                <w:sz w:val="24"/>
              </w:rPr>
            </w:pPr>
          </w:p>
        </w:tc>
        <w:tc>
          <w:tcPr>
            <w:tcW w:w="850" w:type="dxa"/>
            <w:noWrap w:val="0"/>
            <w:vAlign w:val="center"/>
          </w:tcPr>
          <w:p w14:paraId="0CA3D5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4C1B36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02D2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F4F0A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ZH13042610090</w:t>
            </w:r>
          </w:p>
        </w:tc>
        <w:tc>
          <w:tcPr>
            <w:tcW w:w="567" w:type="dxa"/>
            <w:vMerge w:val="restart"/>
            <w:noWrap w:val="0"/>
            <w:vAlign w:val="center"/>
          </w:tcPr>
          <w:p w14:paraId="2DF4DB8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54B0FB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河南店镇、平安街道办事处</w:t>
            </w:r>
          </w:p>
        </w:tc>
        <w:tc>
          <w:tcPr>
            <w:tcW w:w="685" w:type="dxa"/>
            <w:vMerge w:val="restart"/>
            <w:noWrap w:val="0"/>
            <w:vAlign w:val="center"/>
          </w:tcPr>
          <w:p w14:paraId="36886B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2534F5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水土保持、水源涵养、涉县清漳河</w:t>
            </w:r>
          </w:p>
        </w:tc>
        <w:tc>
          <w:tcPr>
            <w:tcW w:w="850" w:type="dxa"/>
            <w:noWrap w:val="0"/>
            <w:vAlign w:val="center"/>
          </w:tcPr>
          <w:p w14:paraId="46EFE98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159C2D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1.满足《中华人民共和国河道管理条例》相关要求。2.按照总体准入的生态空间总体管控要求中水源涵养、水土保持相应管控要求执行。</w:t>
            </w:r>
          </w:p>
        </w:tc>
      </w:tr>
      <w:tr w14:paraId="5C682B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ED3787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8945DC7">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1CB7F247">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2E2F389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2238025">
            <w:pPr>
              <w:widowControl/>
              <w:spacing w:line="0" w:lineRule="atLeast"/>
              <w:jc w:val="center"/>
              <w:rPr>
                <w:rFonts w:ascii="仿宋" w:hAnsi="仿宋" w:eastAsia="仿宋" w:cs="仿宋"/>
                <w:bCs/>
                <w:spacing w:val="-10"/>
                <w:kern w:val="0"/>
                <w:sz w:val="24"/>
              </w:rPr>
            </w:pPr>
          </w:p>
        </w:tc>
        <w:tc>
          <w:tcPr>
            <w:tcW w:w="850" w:type="dxa"/>
            <w:noWrap w:val="0"/>
            <w:vAlign w:val="center"/>
          </w:tcPr>
          <w:p w14:paraId="6743DFE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E6080D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53D98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DB24DF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073B0B0">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5DF3D154">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49B2854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FF01621">
            <w:pPr>
              <w:widowControl/>
              <w:spacing w:line="0" w:lineRule="atLeast"/>
              <w:jc w:val="center"/>
              <w:rPr>
                <w:rFonts w:ascii="仿宋" w:hAnsi="仿宋" w:eastAsia="仿宋" w:cs="仿宋"/>
                <w:bCs/>
                <w:spacing w:val="-10"/>
                <w:kern w:val="0"/>
                <w:sz w:val="24"/>
              </w:rPr>
            </w:pPr>
          </w:p>
        </w:tc>
        <w:tc>
          <w:tcPr>
            <w:tcW w:w="850" w:type="dxa"/>
            <w:noWrap w:val="0"/>
            <w:vAlign w:val="center"/>
          </w:tcPr>
          <w:p w14:paraId="0F7AAA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A241F3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657B6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8A7C6F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3E3E2B6">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081D4B29">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207EA19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822AC15">
            <w:pPr>
              <w:widowControl/>
              <w:spacing w:line="0" w:lineRule="atLeast"/>
              <w:jc w:val="center"/>
              <w:rPr>
                <w:rFonts w:ascii="仿宋" w:hAnsi="仿宋" w:eastAsia="仿宋" w:cs="仿宋"/>
                <w:bCs/>
                <w:spacing w:val="-10"/>
                <w:kern w:val="0"/>
                <w:sz w:val="24"/>
              </w:rPr>
            </w:pPr>
          </w:p>
        </w:tc>
        <w:tc>
          <w:tcPr>
            <w:tcW w:w="850" w:type="dxa"/>
            <w:noWrap w:val="0"/>
            <w:vAlign w:val="center"/>
          </w:tcPr>
          <w:p w14:paraId="48C1AD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83EDA1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8348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73" w:hRule="atLeast"/>
          <w:jc w:val="center"/>
        </w:trPr>
        <w:tc>
          <w:tcPr>
            <w:tcW w:w="595" w:type="dxa"/>
            <w:vMerge w:val="restart"/>
            <w:noWrap w:val="0"/>
            <w:vAlign w:val="center"/>
          </w:tcPr>
          <w:p w14:paraId="3FDF4A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ZH13042610091</w:t>
            </w:r>
          </w:p>
        </w:tc>
        <w:tc>
          <w:tcPr>
            <w:tcW w:w="567" w:type="dxa"/>
            <w:vMerge w:val="restart"/>
            <w:noWrap w:val="0"/>
            <w:vAlign w:val="center"/>
          </w:tcPr>
          <w:p w14:paraId="03893C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267E0B6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固新镇、河南店镇、平安街道办事处、神头乡、索堡镇</w:t>
            </w:r>
          </w:p>
        </w:tc>
        <w:tc>
          <w:tcPr>
            <w:tcW w:w="685" w:type="dxa"/>
            <w:vMerge w:val="restart"/>
            <w:noWrap w:val="0"/>
            <w:vAlign w:val="center"/>
          </w:tcPr>
          <w:p w14:paraId="2362DA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0877884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水土保持、水源涵养、娲皇宫风景区</w:t>
            </w:r>
          </w:p>
        </w:tc>
        <w:tc>
          <w:tcPr>
            <w:tcW w:w="850" w:type="dxa"/>
            <w:noWrap w:val="0"/>
            <w:vAlign w:val="center"/>
          </w:tcPr>
          <w:p w14:paraId="2AC2D7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22636F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1.按照《中华人民共和国风景名胜区条例》及相关管理要求执行。2.按照总体准入的生态空间总体管控要求中水源涵养、水土保持相应管控要求执行。</w:t>
            </w:r>
          </w:p>
        </w:tc>
      </w:tr>
      <w:tr w14:paraId="5A4F2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82" w:hRule="atLeast"/>
          <w:jc w:val="center"/>
        </w:trPr>
        <w:tc>
          <w:tcPr>
            <w:tcW w:w="595" w:type="dxa"/>
            <w:vMerge w:val="continue"/>
            <w:noWrap w:val="0"/>
            <w:vAlign w:val="center"/>
          </w:tcPr>
          <w:p w14:paraId="12A5E58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F50594F">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22E3391C">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3CD5DE0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08AD361">
            <w:pPr>
              <w:widowControl/>
              <w:spacing w:line="0" w:lineRule="atLeast"/>
              <w:jc w:val="center"/>
              <w:rPr>
                <w:rFonts w:ascii="仿宋" w:hAnsi="仿宋" w:eastAsia="仿宋" w:cs="仿宋"/>
                <w:bCs/>
                <w:spacing w:val="-10"/>
                <w:kern w:val="0"/>
                <w:sz w:val="24"/>
              </w:rPr>
            </w:pPr>
          </w:p>
        </w:tc>
        <w:tc>
          <w:tcPr>
            <w:tcW w:w="850" w:type="dxa"/>
            <w:noWrap w:val="0"/>
            <w:vAlign w:val="center"/>
          </w:tcPr>
          <w:p w14:paraId="4F1993B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C09EDF6">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w:t>
            </w:r>
          </w:p>
        </w:tc>
      </w:tr>
      <w:tr w14:paraId="78D60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79EFDD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A184ED">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41E6D189">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7BE246E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EB1A19A">
            <w:pPr>
              <w:widowControl/>
              <w:spacing w:line="0" w:lineRule="atLeast"/>
              <w:jc w:val="center"/>
              <w:rPr>
                <w:rFonts w:ascii="仿宋" w:hAnsi="仿宋" w:eastAsia="仿宋" w:cs="仿宋"/>
                <w:bCs/>
                <w:spacing w:val="-10"/>
                <w:kern w:val="0"/>
                <w:sz w:val="24"/>
              </w:rPr>
            </w:pPr>
          </w:p>
        </w:tc>
        <w:tc>
          <w:tcPr>
            <w:tcW w:w="850" w:type="dxa"/>
            <w:noWrap w:val="0"/>
            <w:vAlign w:val="center"/>
          </w:tcPr>
          <w:p w14:paraId="44C169A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C31428E">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862B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C66007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1AABC22">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7C292E47">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259DBC8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5121C56">
            <w:pPr>
              <w:widowControl/>
              <w:spacing w:line="0" w:lineRule="atLeast"/>
              <w:jc w:val="center"/>
              <w:rPr>
                <w:rFonts w:ascii="仿宋" w:hAnsi="仿宋" w:eastAsia="仿宋" w:cs="仿宋"/>
                <w:bCs/>
                <w:spacing w:val="-10"/>
                <w:kern w:val="0"/>
                <w:sz w:val="24"/>
              </w:rPr>
            </w:pPr>
          </w:p>
        </w:tc>
        <w:tc>
          <w:tcPr>
            <w:tcW w:w="850" w:type="dxa"/>
            <w:noWrap w:val="0"/>
            <w:vAlign w:val="center"/>
          </w:tcPr>
          <w:p w14:paraId="537121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2C16A1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6EFF5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CF029F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ZH13042610092</w:t>
            </w:r>
          </w:p>
        </w:tc>
        <w:tc>
          <w:tcPr>
            <w:tcW w:w="567" w:type="dxa"/>
            <w:vMerge w:val="restart"/>
            <w:noWrap w:val="0"/>
            <w:vAlign w:val="center"/>
          </w:tcPr>
          <w:p w14:paraId="234163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404DB0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更乐镇、固新镇、关防乡、合漳乡、河南店镇、井店镇、辽城乡、龙虎乡、鹿头乡、木井乡、偏城镇、偏店乡、平安街道办事处、神头乡、索堡镇、西达镇、西戌镇</w:t>
            </w:r>
          </w:p>
        </w:tc>
        <w:tc>
          <w:tcPr>
            <w:tcW w:w="685" w:type="dxa"/>
            <w:vMerge w:val="restart"/>
            <w:noWrap w:val="0"/>
            <w:vAlign w:val="center"/>
          </w:tcPr>
          <w:p w14:paraId="3E6EF65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7EEE89B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太行山水土保持-生物多样性维护生态保护红线</w:t>
            </w:r>
          </w:p>
        </w:tc>
        <w:tc>
          <w:tcPr>
            <w:tcW w:w="850" w:type="dxa"/>
            <w:noWrap w:val="0"/>
            <w:vAlign w:val="center"/>
          </w:tcPr>
          <w:p w14:paraId="7237128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B86680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1.满足生态保护红线相关要求。2.按照总体准入的生态空间总体管控要求中水土保持相应管控要求执行。</w:t>
            </w:r>
          </w:p>
        </w:tc>
      </w:tr>
      <w:tr w14:paraId="268D2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6DE7B6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D86E68A">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493157C2">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3ADC67F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8B14F48">
            <w:pPr>
              <w:widowControl/>
              <w:spacing w:line="0" w:lineRule="atLeast"/>
              <w:jc w:val="center"/>
              <w:rPr>
                <w:rFonts w:ascii="仿宋" w:hAnsi="仿宋" w:eastAsia="仿宋" w:cs="仿宋"/>
                <w:bCs/>
                <w:spacing w:val="-10"/>
                <w:kern w:val="0"/>
                <w:sz w:val="24"/>
              </w:rPr>
            </w:pPr>
          </w:p>
        </w:tc>
        <w:tc>
          <w:tcPr>
            <w:tcW w:w="850" w:type="dxa"/>
            <w:noWrap w:val="0"/>
            <w:vAlign w:val="center"/>
          </w:tcPr>
          <w:p w14:paraId="0C93FF3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DB8A62C">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w:t>
            </w:r>
          </w:p>
        </w:tc>
      </w:tr>
      <w:tr w14:paraId="09349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BD4F01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D36A55">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5A7A21D7">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582014A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C7488A7">
            <w:pPr>
              <w:widowControl/>
              <w:spacing w:line="0" w:lineRule="atLeast"/>
              <w:jc w:val="center"/>
              <w:rPr>
                <w:rFonts w:ascii="仿宋" w:hAnsi="仿宋" w:eastAsia="仿宋" w:cs="仿宋"/>
                <w:bCs/>
                <w:spacing w:val="-10"/>
                <w:kern w:val="0"/>
                <w:sz w:val="24"/>
              </w:rPr>
            </w:pPr>
          </w:p>
        </w:tc>
        <w:tc>
          <w:tcPr>
            <w:tcW w:w="850" w:type="dxa"/>
            <w:noWrap w:val="0"/>
            <w:vAlign w:val="center"/>
          </w:tcPr>
          <w:p w14:paraId="12F05C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474A81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51C3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90" w:hRule="atLeast"/>
          <w:jc w:val="center"/>
        </w:trPr>
        <w:tc>
          <w:tcPr>
            <w:tcW w:w="595" w:type="dxa"/>
            <w:vMerge w:val="continue"/>
            <w:noWrap w:val="0"/>
            <w:vAlign w:val="center"/>
          </w:tcPr>
          <w:p w14:paraId="7791DED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06E881D">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2D4638B0">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6EADC46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63588B0">
            <w:pPr>
              <w:widowControl/>
              <w:spacing w:line="0" w:lineRule="atLeast"/>
              <w:jc w:val="center"/>
              <w:rPr>
                <w:rFonts w:ascii="仿宋" w:hAnsi="仿宋" w:eastAsia="仿宋" w:cs="仿宋"/>
                <w:bCs/>
                <w:spacing w:val="-10"/>
                <w:kern w:val="0"/>
                <w:sz w:val="24"/>
              </w:rPr>
            </w:pPr>
          </w:p>
        </w:tc>
        <w:tc>
          <w:tcPr>
            <w:tcW w:w="850" w:type="dxa"/>
            <w:noWrap w:val="0"/>
            <w:vAlign w:val="center"/>
          </w:tcPr>
          <w:p w14:paraId="0EB8CB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96953D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6B5A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B7728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ZH13042620093</w:t>
            </w:r>
          </w:p>
        </w:tc>
        <w:tc>
          <w:tcPr>
            <w:tcW w:w="567" w:type="dxa"/>
            <w:vMerge w:val="restart"/>
            <w:noWrap w:val="0"/>
            <w:vAlign w:val="center"/>
          </w:tcPr>
          <w:p w14:paraId="4F1BC0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32180BE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更乐镇、井店镇、平安街道办事处</w:t>
            </w:r>
          </w:p>
        </w:tc>
        <w:tc>
          <w:tcPr>
            <w:tcW w:w="685" w:type="dxa"/>
            <w:vMerge w:val="restart"/>
            <w:noWrap w:val="0"/>
            <w:vAlign w:val="center"/>
          </w:tcPr>
          <w:p w14:paraId="369655A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256F9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大气环境高排放重点管控区、水环境工业污染重点管控区、涉县经济开发区</w:t>
            </w:r>
          </w:p>
        </w:tc>
        <w:tc>
          <w:tcPr>
            <w:tcW w:w="850" w:type="dxa"/>
            <w:noWrap w:val="0"/>
            <w:vAlign w:val="center"/>
          </w:tcPr>
          <w:p w14:paraId="69B3A9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D958C0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产业结构调整指导目录》（2019年）属于限制和淘汰类的建设项目禁止准入。2.《市场准入负面清单》中的禁止准入类建设项目禁止准入。3.入区项目应符合相关行业准入条件和要求。4.装备制造产业区：含有电镀、酸洗、碱洗工艺的项目禁止入区；铸造新能源产业区：含有铸/锻件酸洗工艺的项目禁止入区；农产品加工酿造区：等电离交谷氨酸项目、粮食转化工业乙醇项目、食用植物油转化生物燃油项目及酒精生产线项目禁止入区；纺织建材产业区：水泥生产项目、印染项目禁止入区</w:t>
            </w:r>
            <w:r>
              <w:rPr>
                <w:rFonts w:hint="eastAsia" w:ascii="仿宋" w:hAnsi="仿宋" w:eastAsia="仿宋" w:cs="仿宋"/>
                <w:kern w:val="0"/>
                <w:sz w:val="24"/>
              </w:rPr>
              <w:t>。</w:t>
            </w:r>
          </w:p>
        </w:tc>
      </w:tr>
      <w:tr w14:paraId="1E734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5D37B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159EABE">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6232AA82">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30C0701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81F9A4A">
            <w:pPr>
              <w:widowControl/>
              <w:spacing w:line="0" w:lineRule="atLeast"/>
              <w:jc w:val="center"/>
              <w:rPr>
                <w:rFonts w:ascii="仿宋" w:hAnsi="仿宋" w:eastAsia="仿宋" w:cs="仿宋"/>
                <w:bCs/>
                <w:spacing w:val="-10"/>
                <w:kern w:val="0"/>
                <w:sz w:val="24"/>
              </w:rPr>
            </w:pPr>
          </w:p>
        </w:tc>
        <w:tc>
          <w:tcPr>
            <w:tcW w:w="850" w:type="dxa"/>
            <w:noWrap w:val="0"/>
            <w:vAlign w:val="center"/>
          </w:tcPr>
          <w:p w14:paraId="1A01FC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F08ADF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1.入区项目污染物排放必须满足国家、河北省、邯郸市等规定的标准要求，排放指标必须满足清洁生产指标要求。2.污染物排放量不得突破开发区确定的总量排放上线；3.入区项目需满足污染物排放总量控制要求。</w:t>
            </w:r>
          </w:p>
        </w:tc>
      </w:tr>
      <w:tr w14:paraId="2A0A4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EAE344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AA24EC7">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62946034">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3244409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3142279">
            <w:pPr>
              <w:widowControl/>
              <w:spacing w:line="0" w:lineRule="atLeast"/>
              <w:jc w:val="center"/>
              <w:rPr>
                <w:rFonts w:ascii="仿宋" w:hAnsi="仿宋" w:eastAsia="仿宋" w:cs="仿宋"/>
                <w:bCs/>
                <w:spacing w:val="-10"/>
                <w:kern w:val="0"/>
                <w:sz w:val="24"/>
              </w:rPr>
            </w:pPr>
          </w:p>
        </w:tc>
        <w:tc>
          <w:tcPr>
            <w:tcW w:w="850" w:type="dxa"/>
            <w:noWrap w:val="0"/>
            <w:vAlign w:val="center"/>
          </w:tcPr>
          <w:p w14:paraId="2052B6F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6C2316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对于易导致环境风险的有毒有害和易燃易爆物质的生产、使用、排放、贮运等新(改、扩)建项目，风险防控措施满足规划环评中提出的环境风险管理要求。园区及入区企业需组织编制环境风险应急预案，成立应急组织机构，定期开展应急演练，提高区域环境风险防范能力。</w:t>
            </w:r>
          </w:p>
        </w:tc>
      </w:tr>
      <w:tr w14:paraId="1E9D4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0A1AFE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26CF406">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05CCA805">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0AAF019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BB5248F">
            <w:pPr>
              <w:widowControl/>
              <w:spacing w:line="0" w:lineRule="atLeast"/>
              <w:jc w:val="center"/>
              <w:rPr>
                <w:rFonts w:ascii="仿宋" w:hAnsi="仿宋" w:eastAsia="仿宋" w:cs="仿宋"/>
                <w:bCs/>
                <w:spacing w:val="-10"/>
                <w:kern w:val="0"/>
                <w:sz w:val="24"/>
              </w:rPr>
            </w:pPr>
          </w:p>
        </w:tc>
        <w:tc>
          <w:tcPr>
            <w:tcW w:w="850" w:type="dxa"/>
            <w:noWrap w:val="0"/>
            <w:vAlign w:val="center"/>
          </w:tcPr>
          <w:p w14:paraId="24F3F6BB">
            <w:pPr>
              <w:widowControl/>
              <w:spacing w:line="0" w:lineRule="atLeast"/>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51218F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区企业实施后资源和能源消耗量满足规划环评划定的土地、水、能源等主要资源能源可开发利用总量上线。2.单位工业增加值新鲜水耗≤8立方米/万元、工业固体废物(含危险废物)处置利用率100%、单位工业增加值综合能耗≤0.5吨标准煤/万元、再生水回用率100%。3.入区项目应符合水资源管理制度的要求。</w:t>
            </w:r>
          </w:p>
        </w:tc>
      </w:tr>
      <w:tr w14:paraId="2D8F2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7AE72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ZH13042620094</w:t>
            </w:r>
          </w:p>
        </w:tc>
        <w:tc>
          <w:tcPr>
            <w:tcW w:w="567" w:type="dxa"/>
            <w:vMerge w:val="restart"/>
            <w:noWrap w:val="0"/>
            <w:vAlign w:val="center"/>
          </w:tcPr>
          <w:p w14:paraId="4AFCDFC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0767C4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更乐镇、井店镇、龙虎乡、偏店乡、平安街道办事处、西戌镇</w:t>
            </w:r>
          </w:p>
        </w:tc>
        <w:tc>
          <w:tcPr>
            <w:tcW w:w="685" w:type="dxa"/>
            <w:vMerge w:val="restart"/>
            <w:noWrap w:val="0"/>
            <w:vAlign w:val="center"/>
          </w:tcPr>
          <w:p w14:paraId="55C935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E7C48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 水环境城镇生活重点管控区</w:t>
            </w:r>
          </w:p>
        </w:tc>
        <w:tc>
          <w:tcPr>
            <w:tcW w:w="850" w:type="dxa"/>
            <w:noWrap w:val="0"/>
            <w:vAlign w:val="center"/>
          </w:tcPr>
          <w:p w14:paraId="553F6E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80A79F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控制新增产能，鼓励实施等量或减量置换，依托现有耐火材料生产企业，通过联合重组，“退城入园”，开展技术改造，推进节能减排，生产和推广不定形耐火材料，优化产业结构，提高生产集中度。3.世界遗产地、风景名胜区、生态保护区、饮用水水源保护区等需要特别保护的区域和非工业建设规划区不得新建、扩建耐火材料项目。</w:t>
            </w:r>
          </w:p>
        </w:tc>
      </w:tr>
      <w:tr w14:paraId="40A8E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14" w:hRule="atLeast"/>
          <w:jc w:val="center"/>
        </w:trPr>
        <w:tc>
          <w:tcPr>
            <w:tcW w:w="595" w:type="dxa"/>
            <w:vMerge w:val="continue"/>
            <w:noWrap w:val="0"/>
            <w:vAlign w:val="center"/>
          </w:tcPr>
          <w:p w14:paraId="20F1CE5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4D35CF3">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12483E2D">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64B95BE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CE5BF7C">
            <w:pPr>
              <w:widowControl/>
              <w:spacing w:line="0" w:lineRule="atLeast"/>
              <w:jc w:val="center"/>
              <w:rPr>
                <w:rFonts w:ascii="仿宋" w:hAnsi="仿宋" w:eastAsia="仿宋" w:cs="仿宋"/>
                <w:bCs/>
                <w:spacing w:val="-10"/>
                <w:kern w:val="0"/>
                <w:sz w:val="24"/>
              </w:rPr>
            </w:pPr>
          </w:p>
        </w:tc>
        <w:tc>
          <w:tcPr>
            <w:tcW w:w="850" w:type="dxa"/>
            <w:noWrap w:val="0"/>
            <w:vAlign w:val="center"/>
          </w:tcPr>
          <w:p w14:paraId="776F200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top"/>
          </w:tcPr>
          <w:p w14:paraId="2375BAB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耐火材料行业原料堆场配建围墙和顶盖，破（粉）碎、筛分、均化、输送、成型和成品加工等易产生粉尘的环节，配套除尘装置，防止粉尘无组织排放。含尘气体经处理达标后排放。2.耐火材料行业配套建设窑炉烟气除尘、脱硫、脱硝等治理装置。烟气经治理达标后排放。3.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639C7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83" w:hRule="atLeast"/>
          <w:jc w:val="center"/>
        </w:trPr>
        <w:tc>
          <w:tcPr>
            <w:tcW w:w="595" w:type="dxa"/>
            <w:vMerge w:val="continue"/>
            <w:noWrap w:val="0"/>
            <w:vAlign w:val="center"/>
          </w:tcPr>
          <w:p w14:paraId="61F055C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3761492">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34E1C02F">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7456D7D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E58193F">
            <w:pPr>
              <w:widowControl/>
              <w:spacing w:line="0" w:lineRule="atLeast"/>
              <w:jc w:val="center"/>
              <w:rPr>
                <w:rFonts w:ascii="仿宋" w:hAnsi="仿宋" w:eastAsia="仿宋" w:cs="仿宋"/>
                <w:bCs/>
                <w:spacing w:val="-10"/>
                <w:kern w:val="0"/>
                <w:sz w:val="24"/>
              </w:rPr>
            </w:pPr>
          </w:p>
        </w:tc>
        <w:tc>
          <w:tcPr>
            <w:tcW w:w="850" w:type="dxa"/>
            <w:noWrap w:val="0"/>
            <w:vAlign w:val="center"/>
          </w:tcPr>
          <w:p w14:paraId="6C505D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66591C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1.堆存含有重金属的原料和固体废物场所配套建设防渗漏设施。2.建立环境管理体系，制定突发环境事件应急预案。</w:t>
            </w:r>
          </w:p>
        </w:tc>
      </w:tr>
      <w:tr w14:paraId="2B0F7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25" w:hRule="atLeast"/>
          <w:jc w:val="center"/>
        </w:trPr>
        <w:tc>
          <w:tcPr>
            <w:tcW w:w="595" w:type="dxa"/>
            <w:vMerge w:val="continue"/>
            <w:noWrap w:val="0"/>
            <w:vAlign w:val="center"/>
          </w:tcPr>
          <w:p w14:paraId="3CBF350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78BB696">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5A040058">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4942F79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F69B826">
            <w:pPr>
              <w:widowControl/>
              <w:spacing w:line="0" w:lineRule="atLeast"/>
              <w:jc w:val="center"/>
              <w:rPr>
                <w:rFonts w:ascii="仿宋" w:hAnsi="仿宋" w:eastAsia="仿宋" w:cs="仿宋"/>
                <w:bCs/>
                <w:spacing w:val="-10"/>
                <w:kern w:val="0"/>
                <w:sz w:val="24"/>
              </w:rPr>
            </w:pPr>
          </w:p>
        </w:tc>
        <w:tc>
          <w:tcPr>
            <w:tcW w:w="850" w:type="dxa"/>
            <w:noWrap w:val="0"/>
            <w:vAlign w:val="center"/>
          </w:tcPr>
          <w:p w14:paraId="0DDA320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E486FE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耐火材料企业满足《耐火材料行业规范条件》中“五、节能降耗和综合利用”中表1耐火原料单位产品能耗限额和表2耐火制品单位产品能耗限额的指标要求。2.耐火材料企业回收再利用生产过程产生的碎矿、粉矿和回收的粉尘等固体废物，鼓励回收再利用用后耐火材料。建立雨污分流系统。生产工艺废水回用率不低于90%，污水经治理达标后排放。</w:t>
            </w:r>
          </w:p>
        </w:tc>
      </w:tr>
      <w:tr w14:paraId="3A74E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4903E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ZH13042620095</w:t>
            </w:r>
          </w:p>
        </w:tc>
        <w:tc>
          <w:tcPr>
            <w:tcW w:w="567" w:type="dxa"/>
            <w:vMerge w:val="restart"/>
            <w:noWrap w:val="0"/>
            <w:vAlign w:val="center"/>
          </w:tcPr>
          <w:p w14:paraId="2276413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3BB081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龙虎乡、偏店乡、西戌镇</w:t>
            </w:r>
          </w:p>
        </w:tc>
        <w:tc>
          <w:tcPr>
            <w:tcW w:w="685" w:type="dxa"/>
            <w:vMerge w:val="restart"/>
            <w:noWrap w:val="0"/>
            <w:vAlign w:val="center"/>
          </w:tcPr>
          <w:p w14:paraId="4895B0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68B92A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大气环境高排放重点管控区、水环境工业污染重点管控区、冀·津（涉县·天铁）循环经济产业示范区-龙西工业区</w:t>
            </w:r>
          </w:p>
        </w:tc>
        <w:tc>
          <w:tcPr>
            <w:tcW w:w="850" w:type="dxa"/>
            <w:noWrap w:val="0"/>
            <w:vAlign w:val="center"/>
          </w:tcPr>
          <w:p w14:paraId="39A091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ECC8B1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产业结构调整指导目录》（2019年）中属于限制和淘汰类的建设项目禁止准入。2.《市场准入负面清单》中的禁止准入类建设项目禁止准入。3.入区项目应符合《钢铁建设项目环境影响评价文件审批原则(试行)》、《焦化行业准入条件（2014年修订）》及其他相关行业准入条件和要求。</w:t>
            </w:r>
          </w:p>
        </w:tc>
      </w:tr>
      <w:tr w14:paraId="08696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396558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3331BD8">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04DB6F40">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65C492F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F765AE7">
            <w:pPr>
              <w:widowControl/>
              <w:spacing w:line="0" w:lineRule="atLeast"/>
              <w:jc w:val="center"/>
              <w:rPr>
                <w:rFonts w:ascii="仿宋" w:hAnsi="仿宋" w:eastAsia="仿宋" w:cs="仿宋"/>
                <w:bCs/>
                <w:spacing w:val="-10"/>
                <w:kern w:val="0"/>
                <w:sz w:val="24"/>
              </w:rPr>
            </w:pPr>
          </w:p>
        </w:tc>
        <w:tc>
          <w:tcPr>
            <w:tcW w:w="850" w:type="dxa"/>
            <w:noWrap w:val="0"/>
            <w:vAlign w:val="center"/>
          </w:tcPr>
          <w:p w14:paraId="172B026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22DF49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区项目污染物排放必须满足国家、河北省、邯郸市等规定的标准要求，排放指标必须满足清洁生产指标要求。2.污染物排放量不得突破工业区确定的总量排放上线。3.入区项目需满足污染物排放总量控制要求。4.入区项目应落实新增颗粒物、二氧化硫、氮氧化物和挥发性有机物排放量替代削减。</w:t>
            </w:r>
          </w:p>
        </w:tc>
      </w:tr>
      <w:tr w14:paraId="4F01E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E7762A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63370C3">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38021261">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44DB792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56B78EF">
            <w:pPr>
              <w:widowControl/>
              <w:spacing w:line="0" w:lineRule="atLeast"/>
              <w:jc w:val="center"/>
              <w:rPr>
                <w:rFonts w:ascii="仿宋" w:hAnsi="仿宋" w:eastAsia="仿宋" w:cs="仿宋"/>
                <w:bCs/>
                <w:spacing w:val="-10"/>
                <w:kern w:val="0"/>
                <w:sz w:val="24"/>
              </w:rPr>
            </w:pPr>
          </w:p>
        </w:tc>
        <w:tc>
          <w:tcPr>
            <w:tcW w:w="850" w:type="dxa"/>
            <w:noWrap w:val="0"/>
            <w:vAlign w:val="center"/>
          </w:tcPr>
          <w:p w14:paraId="6C028FB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A7E7FD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对于易导致环境风险的有毒有害和易燃易爆物质的生产、使用、排放、贮运等新(改、扩)建项目，风险防范措施满足规划环评中提出的环境风险管理要求。</w:t>
            </w:r>
          </w:p>
        </w:tc>
      </w:tr>
      <w:tr w14:paraId="38333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07" w:hRule="atLeast"/>
          <w:jc w:val="center"/>
        </w:trPr>
        <w:tc>
          <w:tcPr>
            <w:tcW w:w="595" w:type="dxa"/>
            <w:vMerge w:val="continue"/>
            <w:noWrap w:val="0"/>
            <w:vAlign w:val="center"/>
          </w:tcPr>
          <w:p w14:paraId="30B89BA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BB5E0ED">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73C5A2C5">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2613022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D069001">
            <w:pPr>
              <w:widowControl/>
              <w:spacing w:line="0" w:lineRule="atLeast"/>
              <w:jc w:val="center"/>
              <w:rPr>
                <w:rFonts w:ascii="仿宋" w:hAnsi="仿宋" w:eastAsia="仿宋" w:cs="仿宋"/>
                <w:bCs/>
                <w:spacing w:val="-10"/>
                <w:kern w:val="0"/>
                <w:sz w:val="24"/>
              </w:rPr>
            </w:pPr>
          </w:p>
        </w:tc>
        <w:tc>
          <w:tcPr>
            <w:tcW w:w="850" w:type="dxa"/>
            <w:noWrap w:val="0"/>
            <w:vAlign w:val="center"/>
          </w:tcPr>
          <w:p w14:paraId="56ABFD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92758C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实施后资源和能源消耗量满足工业区划定的土地、水、能源等主要资源能源可开发利用总量上线。2.单位工业增加值新鲜水耗≤8立方米/万元、工业固体废物(含危险废物)处置利用率100%、单位工业增加值综合能耗≤0.5吨标准煤/万元、再生水回用率100%。3.入区项目应符合水资源管理制度的要求。</w:t>
            </w:r>
          </w:p>
        </w:tc>
      </w:tr>
      <w:tr w14:paraId="725C8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02" w:hRule="atLeast"/>
          <w:jc w:val="center"/>
        </w:trPr>
        <w:tc>
          <w:tcPr>
            <w:tcW w:w="595" w:type="dxa"/>
            <w:vMerge w:val="restart"/>
            <w:noWrap w:val="0"/>
            <w:vAlign w:val="center"/>
          </w:tcPr>
          <w:p w14:paraId="105A89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ZH13042620096</w:t>
            </w:r>
          </w:p>
        </w:tc>
        <w:tc>
          <w:tcPr>
            <w:tcW w:w="567" w:type="dxa"/>
            <w:vMerge w:val="restart"/>
            <w:noWrap w:val="0"/>
            <w:vAlign w:val="center"/>
          </w:tcPr>
          <w:p w14:paraId="63EC6E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549308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更乐镇、井店镇、偏店乡</w:t>
            </w:r>
          </w:p>
        </w:tc>
        <w:tc>
          <w:tcPr>
            <w:tcW w:w="685" w:type="dxa"/>
            <w:vMerge w:val="restart"/>
            <w:noWrap w:val="0"/>
            <w:vAlign w:val="center"/>
          </w:tcPr>
          <w:p w14:paraId="4ACDC65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3628B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大气环境高排放重点管控区、水环境工业污染重点管控区、冀·津（涉县·天铁）循环经济产业示范区-天铁工业区</w:t>
            </w:r>
          </w:p>
        </w:tc>
        <w:tc>
          <w:tcPr>
            <w:tcW w:w="850" w:type="dxa"/>
            <w:noWrap w:val="0"/>
            <w:vAlign w:val="center"/>
          </w:tcPr>
          <w:p w14:paraId="33B3A9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5E8E4D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产业结构调整指导目录》（2019年）中属于限制和淘汰类的建设项目禁止准入。2.《市场准入负面清单》中的禁止准入类建设项目禁止准入。3.入区项目应符合《钢铁建设项目环境影响评价文件审批原则(试行)》、《焦化行业准入条件（2014年修订）》及其他相关行业准入条件和要求。</w:t>
            </w:r>
          </w:p>
        </w:tc>
      </w:tr>
      <w:tr w14:paraId="33474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92" w:hRule="atLeast"/>
          <w:jc w:val="center"/>
        </w:trPr>
        <w:tc>
          <w:tcPr>
            <w:tcW w:w="595" w:type="dxa"/>
            <w:vMerge w:val="continue"/>
            <w:noWrap w:val="0"/>
            <w:vAlign w:val="center"/>
          </w:tcPr>
          <w:p w14:paraId="742FF62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3F5A365">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111EB1B9">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7A9BF93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75A56BF">
            <w:pPr>
              <w:widowControl/>
              <w:spacing w:line="0" w:lineRule="atLeast"/>
              <w:jc w:val="center"/>
              <w:rPr>
                <w:rFonts w:ascii="仿宋" w:hAnsi="仿宋" w:eastAsia="仿宋" w:cs="仿宋"/>
                <w:bCs/>
                <w:spacing w:val="-10"/>
                <w:kern w:val="0"/>
                <w:sz w:val="24"/>
              </w:rPr>
            </w:pPr>
          </w:p>
        </w:tc>
        <w:tc>
          <w:tcPr>
            <w:tcW w:w="850" w:type="dxa"/>
            <w:noWrap w:val="0"/>
            <w:vAlign w:val="center"/>
          </w:tcPr>
          <w:p w14:paraId="3C7CF6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3A3F78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区项目污染物排放必须满足国家、河北省、邯郸市等规定的标准要求，排放指标必须满足清洁生产指标要求。2.污染物排放量不得突破工业区确定的总量排放上线。3.入区项目需满足污染物排放总量控制要求。4.入区项目应落实新增颗粒物、二氧化硫、氮氧化物和挥发性有机物排放量替代削减。</w:t>
            </w:r>
          </w:p>
        </w:tc>
      </w:tr>
      <w:tr w14:paraId="790CF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40" w:hRule="atLeast"/>
          <w:jc w:val="center"/>
        </w:trPr>
        <w:tc>
          <w:tcPr>
            <w:tcW w:w="595" w:type="dxa"/>
            <w:vMerge w:val="continue"/>
            <w:noWrap w:val="0"/>
            <w:vAlign w:val="center"/>
          </w:tcPr>
          <w:p w14:paraId="5B09C10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8F75F66">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05C1F7F9">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0C5677A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1D9C775">
            <w:pPr>
              <w:widowControl/>
              <w:spacing w:line="0" w:lineRule="atLeast"/>
              <w:jc w:val="center"/>
              <w:rPr>
                <w:rFonts w:ascii="仿宋" w:hAnsi="仿宋" w:eastAsia="仿宋" w:cs="仿宋"/>
                <w:bCs/>
                <w:spacing w:val="-10"/>
                <w:kern w:val="0"/>
                <w:sz w:val="24"/>
              </w:rPr>
            </w:pPr>
          </w:p>
        </w:tc>
        <w:tc>
          <w:tcPr>
            <w:tcW w:w="850" w:type="dxa"/>
            <w:noWrap w:val="0"/>
            <w:vAlign w:val="center"/>
          </w:tcPr>
          <w:p w14:paraId="6004494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BBA764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对于易导致环境风险的有毒有害和易燃易爆物质的生产、使用、排放、贮运等新(改、扩)建项目，风险防范措施满足规划环评中提出的环境风险管理要求。</w:t>
            </w:r>
          </w:p>
        </w:tc>
      </w:tr>
      <w:tr w14:paraId="137B7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34442F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71912D3">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7F0D2418">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01185B9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12A6768">
            <w:pPr>
              <w:widowControl/>
              <w:spacing w:line="0" w:lineRule="atLeast"/>
              <w:jc w:val="center"/>
              <w:rPr>
                <w:rFonts w:ascii="仿宋" w:hAnsi="仿宋" w:eastAsia="仿宋" w:cs="仿宋"/>
                <w:bCs/>
                <w:spacing w:val="-10"/>
                <w:kern w:val="0"/>
                <w:sz w:val="24"/>
              </w:rPr>
            </w:pPr>
          </w:p>
        </w:tc>
        <w:tc>
          <w:tcPr>
            <w:tcW w:w="850" w:type="dxa"/>
            <w:noWrap w:val="0"/>
            <w:vAlign w:val="center"/>
          </w:tcPr>
          <w:p w14:paraId="49C5E7E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1F6EFA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实施后资源和能源消耗量满足工业区划定的土地、水、能源等主要资源能源可开发利用总量上线。2.单位工业增加值新鲜水耗≤8立方米/万元、工业固体废物(含危险废物)处置利用率100%、单位工业增加值综合能耗≤0.5吨标准煤/万元、再生水回用率100%。3.入区项目应符合水资源管理制度的要求。</w:t>
            </w:r>
          </w:p>
        </w:tc>
      </w:tr>
      <w:tr w14:paraId="77096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56" w:hRule="atLeast"/>
          <w:jc w:val="center"/>
        </w:trPr>
        <w:tc>
          <w:tcPr>
            <w:tcW w:w="595" w:type="dxa"/>
            <w:vMerge w:val="restart"/>
            <w:noWrap w:val="0"/>
            <w:vAlign w:val="center"/>
          </w:tcPr>
          <w:p w14:paraId="08C3D7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ZH13042620097</w:t>
            </w:r>
          </w:p>
        </w:tc>
        <w:tc>
          <w:tcPr>
            <w:tcW w:w="567" w:type="dxa"/>
            <w:vMerge w:val="restart"/>
            <w:noWrap w:val="0"/>
            <w:vAlign w:val="center"/>
          </w:tcPr>
          <w:p w14:paraId="0E3371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3BA06C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河南店镇、神头乡</w:t>
            </w:r>
          </w:p>
        </w:tc>
        <w:tc>
          <w:tcPr>
            <w:tcW w:w="685" w:type="dxa"/>
            <w:vMerge w:val="restart"/>
            <w:noWrap w:val="0"/>
            <w:vAlign w:val="center"/>
          </w:tcPr>
          <w:p w14:paraId="614B67D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57F5F9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大气环境高排放重点管控区、水环境工业污染重点管控区、冀·津（涉县·天铁）循环经济产业示范区-神头工业区</w:t>
            </w:r>
          </w:p>
        </w:tc>
        <w:tc>
          <w:tcPr>
            <w:tcW w:w="850" w:type="dxa"/>
            <w:noWrap w:val="0"/>
            <w:vAlign w:val="center"/>
          </w:tcPr>
          <w:p w14:paraId="63E8784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3E7CF1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1.《产业结构调整指导目录》（2019年）中属于限制和淘汰类的建设项目禁止准入。2.《市场准入负面清单》中的禁止准入类建设项目禁止准入。3.入区项目应符合相关行业准入条件和要求。</w:t>
            </w:r>
          </w:p>
        </w:tc>
      </w:tr>
      <w:tr w14:paraId="54160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92F64F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608D65E">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4B514D09">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4ED5E7D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71078F5">
            <w:pPr>
              <w:widowControl/>
              <w:spacing w:line="0" w:lineRule="atLeast"/>
              <w:jc w:val="center"/>
              <w:rPr>
                <w:rFonts w:ascii="仿宋" w:hAnsi="仿宋" w:eastAsia="仿宋" w:cs="仿宋"/>
                <w:bCs/>
                <w:spacing w:val="-10"/>
                <w:kern w:val="0"/>
                <w:sz w:val="24"/>
              </w:rPr>
            </w:pPr>
          </w:p>
        </w:tc>
        <w:tc>
          <w:tcPr>
            <w:tcW w:w="850" w:type="dxa"/>
            <w:noWrap w:val="0"/>
            <w:vAlign w:val="center"/>
          </w:tcPr>
          <w:p w14:paraId="14EAF0A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01AC71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区项目污染物排放必须满足国家、河北省、邯郸市等规定的标准要求，排放指标必须满足清洁生产指标要求。2.污染物圳放量不得突破工业区确定的总量排放上线。3.入区项目需满足污染物排放总量控制要求。4.入区项目应落实新增颗粒物、二氧化硫、氮氧化物和挥发性有机物排放量替代削减。</w:t>
            </w:r>
          </w:p>
        </w:tc>
      </w:tr>
      <w:tr w14:paraId="2C540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E13DB9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2597B15">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0AEF89FF">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2B50CFF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CDF612A">
            <w:pPr>
              <w:widowControl/>
              <w:spacing w:line="0" w:lineRule="atLeast"/>
              <w:jc w:val="center"/>
              <w:rPr>
                <w:rFonts w:ascii="仿宋" w:hAnsi="仿宋" w:eastAsia="仿宋" w:cs="仿宋"/>
                <w:bCs/>
                <w:spacing w:val="-10"/>
                <w:kern w:val="0"/>
                <w:sz w:val="24"/>
              </w:rPr>
            </w:pPr>
          </w:p>
        </w:tc>
        <w:tc>
          <w:tcPr>
            <w:tcW w:w="850" w:type="dxa"/>
            <w:noWrap w:val="0"/>
            <w:vAlign w:val="center"/>
          </w:tcPr>
          <w:p w14:paraId="0436BB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7CB21A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对于易导致环境风险的有毒有害和易燃易爆物质的生产、使用、排放、贮运等新（改、扩）建项目，风险防范措施满足规划环评中提出的环境风险管理要求。</w:t>
            </w:r>
          </w:p>
        </w:tc>
      </w:tr>
      <w:tr w14:paraId="69A12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9678B1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20C33F3">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6B9DBCD2">
            <w:pPr>
              <w:widowControl/>
              <w:spacing w:line="0" w:lineRule="atLeast"/>
              <w:jc w:val="center"/>
              <w:rPr>
                <w:rFonts w:ascii="仿宋" w:hAnsi="仿宋" w:eastAsia="仿宋" w:cs="仿宋"/>
                <w:bCs/>
                <w:spacing w:val="-10"/>
                <w:kern w:val="0"/>
                <w:sz w:val="24"/>
              </w:rPr>
            </w:pPr>
          </w:p>
        </w:tc>
        <w:tc>
          <w:tcPr>
            <w:tcW w:w="685" w:type="dxa"/>
            <w:vMerge w:val="continue"/>
            <w:noWrap w:val="0"/>
            <w:vAlign w:val="center"/>
          </w:tcPr>
          <w:p w14:paraId="79E8AE8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1C2B53E">
            <w:pPr>
              <w:widowControl/>
              <w:spacing w:line="0" w:lineRule="atLeast"/>
              <w:jc w:val="center"/>
              <w:rPr>
                <w:rFonts w:ascii="仿宋" w:hAnsi="仿宋" w:eastAsia="仿宋" w:cs="仿宋"/>
                <w:bCs/>
                <w:spacing w:val="-10"/>
                <w:kern w:val="0"/>
                <w:sz w:val="24"/>
              </w:rPr>
            </w:pPr>
          </w:p>
        </w:tc>
        <w:tc>
          <w:tcPr>
            <w:tcW w:w="850" w:type="dxa"/>
            <w:noWrap w:val="0"/>
            <w:vAlign w:val="center"/>
          </w:tcPr>
          <w:p w14:paraId="0F69015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CE343C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实施后资源和能源消耗量满足工业区划定的土地、水、能源等主要资源能源可开发利用总量上线。2.单位工业增加值新鲜水耗≤8立方米/万元、工业固体废物(含危险废物)处置利用率100%、单位工业增加值综合能耗≤0.5吨标准煤/万元、再生水回用率100%。3.入区项目应符合水资源管理制度的要求。</w:t>
            </w:r>
          </w:p>
        </w:tc>
      </w:tr>
      <w:tr w14:paraId="5A678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37F11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ZH13042630098</w:t>
            </w:r>
          </w:p>
        </w:tc>
        <w:tc>
          <w:tcPr>
            <w:tcW w:w="567" w:type="dxa"/>
            <w:vMerge w:val="restart"/>
            <w:noWrap w:val="0"/>
            <w:vAlign w:val="center"/>
          </w:tcPr>
          <w:p w14:paraId="3D2595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涉县</w:t>
            </w:r>
          </w:p>
        </w:tc>
        <w:tc>
          <w:tcPr>
            <w:tcW w:w="1158" w:type="dxa"/>
            <w:vMerge w:val="restart"/>
            <w:noWrap w:val="0"/>
            <w:vAlign w:val="center"/>
          </w:tcPr>
          <w:p w14:paraId="43D68D1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井店镇、龙虎乡、鹿头乡、木井乡、偏店乡、西戌镇</w:t>
            </w:r>
          </w:p>
        </w:tc>
        <w:tc>
          <w:tcPr>
            <w:tcW w:w="685" w:type="dxa"/>
            <w:vMerge w:val="restart"/>
            <w:noWrap w:val="0"/>
            <w:vAlign w:val="center"/>
          </w:tcPr>
          <w:p w14:paraId="73BF1D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6BA3CB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4BC8C8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B629E6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1.禁止新建和扩建(等量置换或脱硫石膏除外)石灰和石膏制造。2.限制开采石膏。3.按照国家《绿色矿山建设规范》要求，推动露天矿山绿色标准化建设。</w:t>
            </w:r>
          </w:p>
        </w:tc>
      </w:tr>
      <w:tr w14:paraId="28045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428B5B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D80678D">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77EC124C">
            <w:pPr>
              <w:widowControl/>
              <w:spacing w:line="0" w:lineRule="atLeast"/>
              <w:rPr>
                <w:rFonts w:ascii="仿宋" w:hAnsi="仿宋" w:eastAsia="仿宋" w:cs="仿宋"/>
                <w:bCs/>
                <w:spacing w:val="-10"/>
                <w:kern w:val="0"/>
                <w:sz w:val="24"/>
              </w:rPr>
            </w:pPr>
          </w:p>
        </w:tc>
        <w:tc>
          <w:tcPr>
            <w:tcW w:w="685" w:type="dxa"/>
            <w:vMerge w:val="continue"/>
            <w:noWrap w:val="0"/>
            <w:vAlign w:val="center"/>
          </w:tcPr>
          <w:p w14:paraId="102D76B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84E9160">
            <w:pPr>
              <w:widowControl/>
              <w:spacing w:line="0" w:lineRule="atLeast"/>
              <w:jc w:val="center"/>
              <w:rPr>
                <w:rFonts w:ascii="仿宋" w:hAnsi="仿宋" w:eastAsia="仿宋" w:cs="仿宋"/>
                <w:bCs/>
                <w:spacing w:val="-10"/>
                <w:kern w:val="0"/>
                <w:sz w:val="24"/>
              </w:rPr>
            </w:pPr>
          </w:p>
        </w:tc>
        <w:tc>
          <w:tcPr>
            <w:tcW w:w="850" w:type="dxa"/>
            <w:noWrap w:val="0"/>
            <w:vAlign w:val="center"/>
          </w:tcPr>
          <w:p w14:paraId="179C93C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top"/>
          </w:tcPr>
          <w:p w14:paraId="06C4948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石灰和石膏制造行业污染物排放满足《石灰行业大气污染物排放标准》（DB13/1641-2012）中相应排放限值要求。2.对涉粉状物料十大行业按照“退后十”方案中相应要求管理。3.现有及新（改、扩）建向环境水体直接排放污水的排污单位满足《子牙河流域水污染物排放标准》（DB13/2796-2018)相应排放限值要求。</w:t>
            </w:r>
          </w:p>
        </w:tc>
      </w:tr>
      <w:tr w14:paraId="128E2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84FE52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21FAD4A">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0279D06A">
            <w:pPr>
              <w:widowControl/>
              <w:spacing w:line="0" w:lineRule="atLeast"/>
              <w:rPr>
                <w:rFonts w:ascii="仿宋" w:hAnsi="仿宋" w:eastAsia="仿宋" w:cs="仿宋"/>
                <w:bCs/>
                <w:spacing w:val="-10"/>
                <w:kern w:val="0"/>
                <w:sz w:val="24"/>
              </w:rPr>
            </w:pPr>
          </w:p>
        </w:tc>
        <w:tc>
          <w:tcPr>
            <w:tcW w:w="685" w:type="dxa"/>
            <w:vMerge w:val="continue"/>
            <w:noWrap w:val="0"/>
            <w:vAlign w:val="center"/>
          </w:tcPr>
          <w:p w14:paraId="75CB64D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96C2232">
            <w:pPr>
              <w:widowControl/>
              <w:spacing w:line="0" w:lineRule="atLeast"/>
              <w:jc w:val="center"/>
              <w:rPr>
                <w:rFonts w:ascii="仿宋" w:hAnsi="仿宋" w:eastAsia="仿宋" w:cs="仿宋"/>
                <w:bCs/>
                <w:spacing w:val="-10"/>
                <w:kern w:val="0"/>
                <w:sz w:val="24"/>
              </w:rPr>
            </w:pPr>
          </w:p>
        </w:tc>
        <w:tc>
          <w:tcPr>
            <w:tcW w:w="850" w:type="dxa"/>
            <w:noWrap w:val="0"/>
            <w:vAlign w:val="center"/>
          </w:tcPr>
          <w:p w14:paraId="03FBD5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ACE769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编制《环境风险应急预案》，成立应急组织机构，定期开展应急演练，提高区域环境风险防范能力，建立有效的事故风险防范体系。</w:t>
            </w:r>
          </w:p>
        </w:tc>
      </w:tr>
      <w:tr w14:paraId="0361D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A380FE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1988B30">
            <w:pPr>
              <w:widowControl/>
              <w:spacing w:line="0" w:lineRule="atLeast"/>
              <w:jc w:val="center"/>
              <w:rPr>
                <w:rFonts w:ascii="仿宋" w:hAnsi="仿宋" w:eastAsia="仿宋" w:cs="仿宋"/>
                <w:bCs/>
                <w:spacing w:val="-10"/>
                <w:kern w:val="0"/>
                <w:sz w:val="24"/>
              </w:rPr>
            </w:pPr>
          </w:p>
        </w:tc>
        <w:tc>
          <w:tcPr>
            <w:tcW w:w="1158" w:type="dxa"/>
            <w:vMerge w:val="continue"/>
            <w:noWrap w:val="0"/>
            <w:vAlign w:val="center"/>
          </w:tcPr>
          <w:p w14:paraId="0FB63C50">
            <w:pPr>
              <w:widowControl/>
              <w:spacing w:line="0" w:lineRule="atLeast"/>
              <w:rPr>
                <w:rFonts w:ascii="仿宋" w:hAnsi="仿宋" w:eastAsia="仿宋" w:cs="仿宋"/>
                <w:bCs/>
                <w:spacing w:val="-10"/>
                <w:kern w:val="0"/>
                <w:sz w:val="24"/>
              </w:rPr>
            </w:pPr>
          </w:p>
        </w:tc>
        <w:tc>
          <w:tcPr>
            <w:tcW w:w="685" w:type="dxa"/>
            <w:vMerge w:val="continue"/>
            <w:noWrap w:val="0"/>
            <w:vAlign w:val="center"/>
          </w:tcPr>
          <w:p w14:paraId="1AF2B6D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E54363F">
            <w:pPr>
              <w:widowControl/>
              <w:spacing w:line="0" w:lineRule="atLeast"/>
              <w:jc w:val="center"/>
              <w:rPr>
                <w:rFonts w:ascii="仿宋" w:hAnsi="仿宋" w:eastAsia="仿宋" w:cs="仿宋"/>
                <w:bCs/>
                <w:spacing w:val="-10"/>
                <w:kern w:val="0"/>
                <w:sz w:val="24"/>
              </w:rPr>
            </w:pPr>
          </w:p>
        </w:tc>
        <w:tc>
          <w:tcPr>
            <w:tcW w:w="850" w:type="dxa"/>
            <w:noWrap w:val="0"/>
            <w:vAlign w:val="center"/>
          </w:tcPr>
          <w:p w14:paraId="05E47DC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7F86C9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具备条件的石灰窑烧制热源改为天然气、电和焦炉高炉煤气等清洁能源。</w:t>
            </w:r>
          </w:p>
        </w:tc>
      </w:tr>
    </w:tbl>
    <w:p w14:paraId="158C2097">
      <w:pPr>
        <w:rPr>
          <w:rFonts w:ascii="仿宋" w:hAnsi="仿宋" w:eastAsia="仿宋" w:cs="仿宋"/>
          <w:b/>
          <w:sz w:val="28"/>
          <w:szCs w:val="18"/>
        </w:rPr>
      </w:pPr>
    </w:p>
    <w:p w14:paraId="1107877A">
      <w:pPr>
        <w:rPr>
          <w:rFonts w:ascii="仿宋" w:hAnsi="仿宋" w:eastAsia="仿宋" w:cs="仿宋"/>
          <w:b/>
          <w:sz w:val="28"/>
          <w:szCs w:val="18"/>
        </w:rPr>
      </w:pPr>
      <w:r>
        <w:rPr>
          <w:rFonts w:hint="eastAsia" w:ascii="仿宋" w:hAnsi="仿宋" w:eastAsia="仿宋" w:cs="仿宋"/>
          <w:b/>
          <w:sz w:val="28"/>
          <w:szCs w:val="18"/>
        </w:rPr>
        <w:br w:type="page"/>
      </w:r>
    </w:p>
    <w:p w14:paraId="6C4FAA23">
      <w:pPr>
        <w:pStyle w:val="10"/>
        <w:numPr>
          <w:ilvl w:val="1"/>
          <w:numId w:val="0"/>
        </w:numPr>
        <w:spacing w:beforeLines="50"/>
        <w:ind w:firstLine="640" w:firstLineChars="200"/>
        <w:outlineLvl w:val="1"/>
        <w:rPr>
          <w:rFonts w:ascii="仿宋" w:hAnsi="仿宋" w:eastAsia="仿宋" w:cs="仿宋"/>
          <w:bCs/>
          <w:sz w:val="32"/>
          <w:szCs w:val="32"/>
        </w:rPr>
      </w:pPr>
      <w:r>
        <w:rPr>
          <w:rFonts w:hint="eastAsia" w:ascii="仿宋" w:hAnsi="仿宋" w:eastAsia="仿宋" w:cs="仿宋"/>
          <w:bCs/>
          <w:sz w:val="32"/>
          <w:szCs w:val="32"/>
        </w:rPr>
        <w:t>（十一）磁县生态环境准入清单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792"/>
        <w:gridCol w:w="909"/>
        <w:gridCol w:w="709"/>
        <w:gridCol w:w="851"/>
        <w:gridCol w:w="850"/>
        <w:gridCol w:w="4195"/>
      </w:tblGrid>
      <w:tr w14:paraId="35224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69C8D5D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792" w:type="dxa"/>
            <w:shd w:val="clear" w:color="auto" w:fill="D7D7D7"/>
            <w:noWrap w:val="0"/>
            <w:vAlign w:val="center"/>
          </w:tcPr>
          <w:p w14:paraId="3F49925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909" w:type="dxa"/>
            <w:shd w:val="clear" w:color="auto" w:fill="D7D7D7"/>
            <w:noWrap w:val="0"/>
            <w:vAlign w:val="center"/>
          </w:tcPr>
          <w:p w14:paraId="6DBE322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2606CF1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79B2E86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0476121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4F6A0EB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2A45F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B70569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ZH13042710098</w:t>
            </w:r>
          </w:p>
        </w:tc>
        <w:tc>
          <w:tcPr>
            <w:tcW w:w="792" w:type="dxa"/>
            <w:vMerge w:val="restart"/>
            <w:noWrap w:val="0"/>
            <w:vAlign w:val="center"/>
          </w:tcPr>
          <w:p w14:paraId="7BD1A91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40E284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磁州镇、讲武城镇、观台镇、白土镇、黄沙镇、路村营乡、陶泉乡、都党乡、北贾璧乡</w:t>
            </w:r>
          </w:p>
        </w:tc>
        <w:tc>
          <w:tcPr>
            <w:tcW w:w="709" w:type="dxa"/>
            <w:vMerge w:val="restart"/>
            <w:noWrap w:val="0"/>
            <w:vAlign w:val="center"/>
          </w:tcPr>
          <w:p w14:paraId="6138188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455BF7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 xml:space="preserve"> 水土保持、水源涵养</w:t>
            </w:r>
          </w:p>
        </w:tc>
        <w:tc>
          <w:tcPr>
            <w:tcW w:w="850" w:type="dxa"/>
            <w:noWrap w:val="0"/>
            <w:vAlign w:val="center"/>
          </w:tcPr>
          <w:p w14:paraId="1A2C84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203A08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按照总体准入的生态空间总体管控要求中水源涵养、水土保持相应管控要求执行。</w:t>
            </w:r>
          </w:p>
        </w:tc>
      </w:tr>
      <w:tr w14:paraId="2A9B7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D2A1DB5">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C920A67">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2E3250F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15DBEA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67AC0F5">
            <w:pPr>
              <w:widowControl/>
              <w:spacing w:line="0" w:lineRule="atLeast"/>
              <w:jc w:val="center"/>
              <w:rPr>
                <w:rFonts w:ascii="仿宋" w:hAnsi="仿宋" w:eastAsia="仿宋" w:cs="仿宋"/>
                <w:bCs/>
                <w:spacing w:val="-10"/>
                <w:kern w:val="0"/>
                <w:sz w:val="24"/>
              </w:rPr>
            </w:pPr>
          </w:p>
        </w:tc>
        <w:tc>
          <w:tcPr>
            <w:tcW w:w="850" w:type="dxa"/>
            <w:noWrap w:val="0"/>
            <w:vAlign w:val="center"/>
          </w:tcPr>
          <w:p w14:paraId="5AB34B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F41BF08">
            <w:pPr>
              <w:widowControl/>
              <w:spacing w:line="0" w:lineRule="atLeast"/>
              <w:ind w:firstLine="440" w:firstLineChars="200"/>
              <w:rPr>
                <w:rFonts w:ascii="仿宋" w:hAnsi="仿宋" w:eastAsia="仿宋" w:cs="仿宋"/>
                <w:b/>
                <w:spacing w:val="-10"/>
                <w:kern w:val="0"/>
                <w:sz w:val="24"/>
              </w:rPr>
            </w:pPr>
            <w:r>
              <w:rPr>
                <w:rFonts w:hint="eastAsia" w:ascii="仿宋" w:hAnsi="仿宋" w:eastAsia="仿宋" w:cs="仿宋"/>
                <w:bCs/>
                <w:spacing w:val="-10"/>
                <w:kern w:val="0"/>
                <w:sz w:val="24"/>
              </w:rPr>
              <w:t>满足《中华人民共和国水污染防治法》相关要求。</w:t>
            </w:r>
          </w:p>
        </w:tc>
      </w:tr>
      <w:tr w14:paraId="2AACE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CFA2448">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558A83D">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0D9B453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5FBED3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EB80B75">
            <w:pPr>
              <w:widowControl/>
              <w:spacing w:line="0" w:lineRule="atLeast"/>
              <w:jc w:val="center"/>
              <w:rPr>
                <w:rFonts w:ascii="仿宋" w:hAnsi="仿宋" w:eastAsia="仿宋" w:cs="仿宋"/>
                <w:bCs/>
                <w:spacing w:val="-10"/>
                <w:kern w:val="0"/>
                <w:sz w:val="24"/>
              </w:rPr>
            </w:pPr>
          </w:p>
        </w:tc>
        <w:tc>
          <w:tcPr>
            <w:tcW w:w="850" w:type="dxa"/>
            <w:noWrap w:val="0"/>
            <w:vAlign w:val="center"/>
          </w:tcPr>
          <w:p w14:paraId="064273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71136B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A681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B146B43">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456D9898">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6982437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ED400F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11120F">
            <w:pPr>
              <w:widowControl/>
              <w:spacing w:line="0" w:lineRule="atLeast"/>
              <w:jc w:val="center"/>
              <w:rPr>
                <w:rFonts w:ascii="仿宋" w:hAnsi="仿宋" w:eastAsia="仿宋" w:cs="仿宋"/>
                <w:bCs/>
                <w:spacing w:val="-10"/>
                <w:kern w:val="0"/>
                <w:sz w:val="24"/>
              </w:rPr>
            </w:pPr>
          </w:p>
        </w:tc>
        <w:tc>
          <w:tcPr>
            <w:tcW w:w="850" w:type="dxa"/>
            <w:noWrap w:val="0"/>
            <w:vAlign w:val="center"/>
          </w:tcPr>
          <w:p w14:paraId="052BEC5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FBE6FF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3B39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47FFE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ZH13042710099</w:t>
            </w:r>
          </w:p>
        </w:tc>
        <w:tc>
          <w:tcPr>
            <w:tcW w:w="792" w:type="dxa"/>
            <w:vMerge w:val="restart"/>
            <w:noWrap w:val="0"/>
            <w:vAlign w:val="center"/>
          </w:tcPr>
          <w:p w14:paraId="30FAFB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7B87A8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白土镇、都党乡、观台镇、黄沙镇、陶泉乡、岳城镇</w:t>
            </w:r>
          </w:p>
        </w:tc>
        <w:tc>
          <w:tcPr>
            <w:tcW w:w="709" w:type="dxa"/>
            <w:vMerge w:val="restart"/>
            <w:noWrap w:val="0"/>
            <w:vAlign w:val="center"/>
          </w:tcPr>
          <w:p w14:paraId="3D47D21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57BD5E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地表饮用水源保护区-岳城水库</w:t>
            </w:r>
          </w:p>
        </w:tc>
        <w:tc>
          <w:tcPr>
            <w:tcW w:w="850" w:type="dxa"/>
            <w:noWrap w:val="0"/>
            <w:vAlign w:val="center"/>
          </w:tcPr>
          <w:p w14:paraId="03DD576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D4B76F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岳城水库按照《饮用水水源保护区污染防治管理规定》中管控要求执行。</w:t>
            </w:r>
          </w:p>
        </w:tc>
      </w:tr>
      <w:tr w14:paraId="01755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5FD891F">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77A71DA">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012F54F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B37A6B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94CED1A">
            <w:pPr>
              <w:widowControl/>
              <w:spacing w:line="0" w:lineRule="atLeast"/>
              <w:jc w:val="center"/>
              <w:rPr>
                <w:rFonts w:ascii="仿宋" w:hAnsi="仿宋" w:eastAsia="仿宋" w:cs="仿宋"/>
                <w:bCs/>
                <w:spacing w:val="-10"/>
                <w:kern w:val="0"/>
                <w:sz w:val="24"/>
              </w:rPr>
            </w:pPr>
          </w:p>
        </w:tc>
        <w:tc>
          <w:tcPr>
            <w:tcW w:w="850" w:type="dxa"/>
            <w:noWrap w:val="0"/>
            <w:vAlign w:val="center"/>
          </w:tcPr>
          <w:p w14:paraId="748404B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0907F2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05FB5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86E2F34">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45981564">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40593AA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94D7D6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D26D43F">
            <w:pPr>
              <w:widowControl/>
              <w:spacing w:line="0" w:lineRule="atLeast"/>
              <w:jc w:val="center"/>
              <w:rPr>
                <w:rFonts w:ascii="仿宋" w:hAnsi="仿宋" w:eastAsia="仿宋" w:cs="仿宋"/>
                <w:bCs/>
                <w:spacing w:val="-10"/>
                <w:kern w:val="0"/>
                <w:sz w:val="24"/>
              </w:rPr>
            </w:pPr>
          </w:p>
        </w:tc>
        <w:tc>
          <w:tcPr>
            <w:tcW w:w="850" w:type="dxa"/>
            <w:noWrap w:val="0"/>
            <w:vAlign w:val="center"/>
          </w:tcPr>
          <w:p w14:paraId="0E33855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CF0D3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6706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E5BFB31">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4F40E72B">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3D460D6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39736C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EFDA810">
            <w:pPr>
              <w:widowControl/>
              <w:spacing w:line="0" w:lineRule="atLeast"/>
              <w:jc w:val="center"/>
              <w:rPr>
                <w:rFonts w:ascii="仿宋" w:hAnsi="仿宋" w:eastAsia="仿宋" w:cs="仿宋"/>
                <w:bCs/>
                <w:spacing w:val="-10"/>
                <w:kern w:val="0"/>
                <w:sz w:val="24"/>
              </w:rPr>
            </w:pPr>
          </w:p>
        </w:tc>
        <w:tc>
          <w:tcPr>
            <w:tcW w:w="850" w:type="dxa"/>
            <w:noWrap w:val="0"/>
            <w:vAlign w:val="center"/>
          </w:tcPr>
          <w:p w14:paraId="0DCD95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6099472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63015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01560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ZH13042710100</w:t>
            </w:r>
          </w:p>
        </w:tc>
        <w:tc>
          <w:tcPr>
            <w:tcW w:w="792" w:type="dxa"/>
            <w:vMerge w:val="restart"/>
            <w:noWrap w:val="0"/>
            <w:vAlign w:val="center"/>
          </w:tcPr>
          <w:p w14:paraId="1A7D6C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742D92A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磁州镇、观台镇、讲武城镇、路村营乡、岳城镇</w:t>
            </w:r>
          </w:p>
        </w:tc>
        <w:tc>
          <w:tcPr>
            <w:tcW w:w="709" w:type="dxa"/>
            <w:vMerge w:val="restart"/>
            <w:noWrap w:val="0"/>
            <w:vAlign w:val="center"/>
          </w:tcPr>
          <w:p w14:paraId="5D6E2A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0AFABE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850" w:type="dxa"/>
            <w:noWrap w:val="0"/>
            <w:vAlign w:val="center"/>
          </w:tcPr>
          <w:p w14:paraId="4CD705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B36BBE9">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1.满足生态保护红线相关要求。2.满足《中华人民共和国河道管理条例》相关要求。</w:t>
            </w:r>
          </w:p>
        </w:tc>
      </w:tr>
      <w:tr w14:paraId="2913A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1B1789E">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367C22E7">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555248E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FB6B15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4EA975C">
            <w:pPr>
              <w:widowControl/>
              <w:spacing w:line="0" w:lineRule="atLeast"/>
              <w:jc w:val="center"/>
              <w:rPr>
                <w:rFonts w:ascii="仿宋" w:hAnsi="仿宋" w:eastAsia="仿宋" w:cs="仿宋"/>
                <w:bCs/>
                <w:spacing w:val="-10"/>
                <w:kern w:val="0"/>
                <w:sz w:val="24"/>
              </w:rPr>
            </w:pPr>
          </w:p>
        </w:tc>
        <w:tc>
          <w:tcPr>
            <w:tcW w:w="850" w:type="dxa"/>
            <w:noWrap w:val="0"/>
            <w:vAlign w:val="center"/>
          </w:tcPr>
          <w:p w14:paraId="1EF3D08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D6D548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0ACDB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A5862E9">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03B264DB">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048A1B2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8ED206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01BAFEC">
            <w:pPr>
              <w:widowControl/>
              <w:spacing w:line="0" w:lineRule="atLeast"/>
              <w:jc w:val="center"/>
              <w:rPr>
                <w:rFonts w:ascii="仿宋" w:hAnsi="仿宋" w:eastAsia="仿宋" w:cs="仿宋"/>
                <w:bCs/>
                <w:spacing w:val="-10"/>
                <w:kern w:val="0"/>
                <w:sz w:val="24"/>
              </w:rPr>
            </w:pPr>
          </w:p>
        </w:tc>
        <w:tc>
          <w:tcPr>
            <w:tcW w:w="850" w:type="dxa"/>
            <w:noWrap w:val="0"/>
            <w:vAlign w:val="center"/>
          </w:tcPr>
          <w:p w14:paraId="40D27D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DFCDED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393AB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42E64D5">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0BEEA70">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43D27B9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C5CF34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D7FA0BA">
            <w:pPr>
              <w:widowControl/>
              <w:spacing w:line="0" w:lineRule="atLeast"/>
              <w:jc w:val="center"/>
              <w:rPr>
                <w:rFonts w:ascii="仿宋" w:hAnsi="仿宋" w:eastAsia="仿宋" w:cs="仿宋"/>
                <w:bCs/>
                <w:spacing w:val="-10"/>
                <w:kern w:val="0"/>
                <w:sz w:val="24"/>
              </w:rPr>
            </w:pPr>
          </w:p>
        </w:tc>
        <w:tc>
          <w:tcPr>
            <w:tcW w:w="850" w:type="dxa"/>
            <w:noWrap w:val="0"/>
            <w:vAlign w:val="center"/>
          </w:tcPr>
          <w:p w14:paraId="19B083B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8A18AF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0C693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F4FA3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ZH13042710101</w:t>
            </w:r>
          </w:p>
        </w:tc>
        <w:tc>
          <w:tcPr>
            <w:tcW w:w="792" w:type="dxa"/>
            <w:vMerge w:val="restart"/>
            <w:noWrap w:val="0"/>
            <w:vAlign w:val="center"/>
          </w:tcPr>
          <w:p w14:paraId="21E84B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374A99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白土镇、北贾璧乡、都党乡、观台镇、黄沙镇、讲武城镇、时村营乡、陶泉乡、岳城镇</w:t>
            </w:r>
          </w:p>
        </w:tc>
        <w:tc>
          <w:tcPr>
            <w:tcW w:w="709" w:type="dxa"/>
            <w:vMerge w:val="restart"/>
            <w:noWrap w:val="0"/>
            <w:vAlign w:val="center"/>
          </w:tcPr>
          <w:p w14:paraId="535C3C1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1689D4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w:t>
            </w:r>
          </w:p>
        </w:tc>
        <w:tc>
          <w:tcPr>
            <w:tcW w:w="850" w:type="dxa"/>
            <w:noWrap w:val="0"/>
            <w:vAlign w:val="center"/>
          </w:tcPr>
          <w:p w14:paraId="1212B6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34FE30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按照总体准入的生态空间总体管控要求中水源涵养、水土保持相应管控要求执行。</w:t>
            </w:r>
          </w:p>
        </w:tc>
      </w:tr>
      <w:tr w14:paraId="0CE8D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CC7F1FE">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AB0EC62">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25F435B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6DC9D4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D264756">
            <w:pPr>
              <w:widowControl/>
              <w:spacing w:line="0" w:lineRule="atLeast"/>
              <w:jc w:val="center"/>
              <w:rPr>
                <w:rFonts w:ascii="仿宋" w:hAnsi="仿宋" w:eastAsia="仿宋" w:cs="仿宋"/>
                <w:bCs/>
                <w:spacing w:val="-10"/>
                <w:kern w:val="0"/>
                <w:sz w:val="24"/>
              </w:rPr>
            </w:pPr>
          </w:p>
        </w:tc>
        <w:tc>
          <w:tcPr>
            <w:tcW w:w="850" w:type="dxa"/>
            <w:noWrap w:val="0"/>
            <w:vAlign w:val="center"/>
          </w:tcPr>
          <w:p w14:paraId="62953EC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70B7D39">
            <w:pPr>
              <w:widowControl/>
              <w:spacing w:line="0" w:lineRule="atLeast"/>
              <w:ind w:firstLine="442" w:firstLineChars="200"/>
              <w:rPr>
                <w:rFonts w:ascii="仿宋" w:hAnsi="仿宋" w:eastAsia="仿宋" w:cs="仿宋"/>
                <w:b/>
                <w:spacing w:val="-10"/>
                <w:kern w:val="0"/>
                <w:sz w:val="24"/>
              </w:rPr>
            </w:pPr>
            <w:r>
              <w:rPr>
                <w:rFonts w:hint="eastAsia" w:ascii="仿宋" w:hAnsi="仿宋" w:eastAsia="仿宋" w:cs="仿宋"/>
                <w:b/>
                <w:spacing w:val="-10"/>
                <w:kern w:val="0"/>
                <w:sz w:val="24"/>
              </w:rPr>
              <w:t>—</w:t>
            </w:r>
          </w:p>
        </w:tc>
      </w:tr>
      <w:tr w14:paraId="2194C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2B2AFE8">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6A83EE32">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1AEEDDB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7E1FA2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27E5266">
            <w:pPr>
              <w:widowControl/>
              <w:spacing w:line="0" w:lineRule="atLeast"/>
              <w:jc w:val="center"/>
              <w:rPr>
                <w:rFonts w:ascii="仿宋" w:hAnsi="仿宋" w:eastAsia="仿宋" w:cs="仿宋"/>
                <w:bCs/>
                <w:spacing w:val="-10"/>
                <w:kern w:val="0"/>
                <w:sz w:val="24"/>
              </w:rPr>
            </w:pPr>
          </w:p>
        </w:tc>
        <w:tc>
          <w:tcPr>
            <w:tcW w:w="850" w:type="dxa"/>
            <w:noWrap w:val="0"/>
            <w:vAlign w:val="center"/>
          </w:tcPr>
          <w:p w14:paraId="174227A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175FE3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52207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CFD3F89">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33FF4770">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337C7CB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B3525F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8777D27">
            <w:pPr>
              <w:widowControl/>
              <w:spacing w:line="0" w:lineRule="atLeast"/>
              <w:jc w:val="center"/>
              <w:rPr>
                <w:rFonts w:ascii="仿宋" w:hAnsi="仿宋" w:eastAsia="仿宋" w:cs="仿宋"/>
                <w:bCs/>
                <w:spacing w:val="-10"/>
                <w:kern w:val="0"/>
                <w:sz w:val="24"/>
              </w:rPr>
            </w:pPr>
          </w:p>
        </w:tc>
        <w:tc>
          <w:tcPr>
            <w:tcW w:w="850" w:type="dxa"/>
            <w:noWrap w:val="0"/>
            <w:vAlign w:val="center"/>
          </w:tcPr>
          <w:p w14:paraId="0DD4695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14FE10D">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57BE6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968C8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ZH13042710102</w:t>
            </w:r>
          </w:p>
        </w:tc>
        <w:tc>
          <w:tcPr>
            <w:tcW w:w="792" w:type="dxa"/>
            <w:vMerge w:val="restart"/>
            <w:noWrap w:val="0"/>
            <w:vAlign w:val="center"/>
          </w:tcPr>
          <w:p w14:paraId="7D805D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0596046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白土镇、北贾璧乡、陶泉乡</w:t>
            </w:r>
          </w:p>
        </w:tc>
        <w:tc>
          <w:tcPr>
            <w:tcW w:w="709" w:type="dxa"/>
            <w:vMerge w:val="restart"/>
            <w:noWrap w:val="0"/>
            <w:vAlign w:val="center"/>
          </w:tcPr>
          <w:p w14:paraId="1BD279D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AB28B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太行山水土保持-生物多样性维护生态保护红线</w:t>
            </w:r>
          </w:p>
        </w:tc>
        <w:tc>
          <w:tcPr>
            <w:tcW w:w="850" w:type="dxa"/>
            <w:noWrap w:val="0"/>
            <w:vAlign w:val="center"/>
          </w:tcPr>
          <w:p w14:paraId="5FE65AA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F3E16C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1.满足生态保护红线相关要求。2.按照总体准入的生态空间总体管控要求中水土保持相应管控要求执行。</w:t>
            </w:r>
          </w:p>
        </w:tc>
      </w:tr>
      <w:tr w14:paraId="152F0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CE9D829">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C2F5D26">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043C6EE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F4D879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8CD10DC">
            <w:pPr>
              <w:widowControl/>
              <w:spacing w:line="0" w:lineRule="atLeast"/>
              <w:jc w:val="center"/>
              <w:rPr>
                <w:rFonts w:ascii="仿宋" w:hAnsi="仿宋" w:eastAsia="仿宋" w:cs="仿宋"/>
                <w:bCs/>
                <w:spacing w:val="-10"/>
                <w:kern w:val="0"/>
                <w:sz w:val="24"/>
              </w:rPr>
            </w:pPr>
          </w:p>
        </w:tc>
        <w:tc>
          <w:tcPr>
            <w:tcW w:w="850" w:type="dxa"/>
            <w:noWrap w:val="0"/>
            <w:vAlign w:val="center"/>
          </w:tcPr>
          <w:p w14:paraId="36CCA7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BE4E278">
            <w:pPr>
              <w:widowControl/>
              <w:spacing w:line="0" w:lineRule="atLeast"/>
              <w:rPr>
                <w:rFonts w:ascii="仿宋" w:hAnsi="仿宋" w:eastAsia="仿宋" w:cs="仿宋"/>
                <w:b/>
                <w:spacing w:val="-10"/>
                <w:kern w:val="0"/>
                <w:sz w:val="24"/>
              </w:rPr>
            </w:pPr>
            <w:r>
              <w:rPr>
                <w:rFonts w:hint="eastAsia" w:ascii="仿宋" w:hAnsi="仿宋" w:eastAsia="仿宋" w:cs="仿宋"/>
                <w:bCs/>
                <w:spacing w:val="-10"/>
                <w:kern w:val="0"/>
                <w:sz w:val="24"/>
              </w:rPr>
              <w:t>—</w:t>
            </w:r>
          </w:p>
        </w:tc>
      </w:tr>
      <w:tr w14:paraId="266F8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ABB3EEE">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4F0742D2">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113BD03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F7E9C3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6DF79BC">
            <w:pPr>
              <w:widowControl/>
              <w:spacing w:line="0" w:lineRule="atLeast"/>
              <w:jc w:val="center"/>
              <w:rPr>
                <w:rFonts w:ascii="仿宋" w:hAnsi="仿宋" w:eastAsia="仿宋" w:cs="仿宋"/>
                <w:bCs/>
                <w:spacing w:val="-10"/>
                <w:kern w:val="0"/>
                <w:sz w:val="24"/>
              </w:rPr>
            </w:pPr>
          </w:p>
        </w:tc>
        <w:tc>
          <w:tcPr>
            <w:tcW w:w="850" w:type="dxa"/>
            <w:noWrap w:val="0"/>
            <w:vAlign w:val="center"/>
          </w:tcPr>
          <w:p w14:paraId="392D68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882D005">
            <w:pPr>
              <w:widowControl/>
              <w:spacing w:line="0" w:lineRule="atLeast"/>
              <w:jc w:val="left"/>
              <w:rPr>
                <w:rFonts w:ascii="仿宋" w:hAnsi="仿宋" w:eastAsia="仿宋" w:cs="仿宋"/>
                <w:spacing w:val="-10"/>
                <w:kern w:val="0"/>
                <w:sz w:val="24"/>
              </w:rPr>
            </w:pPr>
            <w:r>
              <w:rPr>
                <w:rFonts w:hint="eastAsia" w:ascii="仿宋" w:hAnsi="仿宋" w:eastAsia="仿宋" w:cs="仿宋"/>
                <w:bCs/>
                <w:spacing w:val="-10"/>
                <w:kern w:val="0"/>
                <w:sz w:val="24"/>
              </w:rPr>
              <w:t>—</w:t>
            </w:r>
          </w:p>
        </w:tc>
      </w:tr>
      <w:tr w14:paraId="39BF5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CE07313">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2A9516C">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4789484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E4A6F1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69C4131">
            <w:pPr>
              <w:widowControl/>
              <w:spacing w:line="0" w:lineRule="atLeast"/>
              <w:jc w:val="center"/>
              <w:rPr>
                <w:rFonts w:ascii="仿宋" w:hAnsi="仿宋" w:eastAsia="仿宋" w:cs="仿宋"/>
                <w:bCs/>
                <w:spacing w:val="-10"/>
                <w:kern w:val="0"/>
                <w:sz w:val="24"/>
              </w:rPr>
            </w:pPr>
          </w:p>
        </w:tc>
        <w:tc>
          <w:tcPr>
            <w:tcW w:w="850" w:type="dxa"/>
            <w:noWrap w:val="0"/>
            <w:vAlign w:val="center"/>
          </w:tcPr>
          <w:p w14:paraId="362CB5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B50BE1D">
            <w:pPr>
              <w:widowControl/>
              <w:spacing w:line="0" w:lineRule="atLeast"/>
              <w:jc w:val="left"/>
              <w:rPr>
                <w:rFonts w:ascii="仿宋" w:hAnsi="仿宋" w:eastAsia="仿宋" w:cs="仿宋"/>
                <w:spacing w:val="-10"/>
                <w:kern w:val="0"/>
                <w:sz w:val="24"/>
              </w:rPr>
            </w:pPr>
            <w:r>
              <w:rPr>
                <w:rFonts w:hint="eastAsia" w:ascii="仿宋" w:hAnsi="仿宋" w:eastAsia="仿宋" w:cs="仿宋"/>
                <w:bCs/>
                <w:spacing w:val="-10"/>
                <w:kern w:val="0"/>
                <w:sz w:val="24"/>
              </w:rPr>
              <w:t>—</w:t>
            </w:r>
          </w:p>
        </w:tc>
      </w:tr>
      <w:tr w14:paraId="5FF2C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72169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br w:type="page"/>
            </w:r>
            <w:r>
              <w:rPr>
                <w:rFonts w:hint="eastAsia" w:ascii="仿宋" w:hAnsi="仿宋" w:eastAsia="仿宋" w:cs="仿宋"/>
                <w:bCs/>
                <w:spacing w:val="-10"/>
                <w:kern w:val="0"/>
                <w:sz w:val="24"/>
              </w:rPr>
              <w:t>ZH13042710103</w:t>
            </w:r>
          </w:p>
        </w:tc>
        <w:tc>
          <w:tcPr>
            <w:tcW w:w="792" w:type="dxa"/>
            <w:vMerge w:val="restart"/>
            <w:noWrap w:val="0"/>
            <w:vAlign w:val="center"/>
          </w:tcPr>
          <w:p w14:paraId="6E3214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01FABF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磁州镇、光禄镇、讲武城镇、路村营乡、时村营乡、岳城镇</w:t>
            </w:r>
          </w:p>
        </w:tc>
        <w:tc>
          <w:tcPr>
            <w:tcW w:w="709" w:type="dxa"/>
            <w:vMerge w:val="restart"/>
            <w:noWrap w:val="0"/>
            <w:vAlign w:val="center"/>
          </w:tcPr>
          <w:p w14:paraId="55F05D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22B44A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重要引调水通道-南水北调中线</w:t>
            </w:r>
          </w:p>
        </w:tc>
        <w:tc>
          <w:tcPr>
            <w:tcW w:w="850" w:type="dxa"/>
            <w:noWrap w:val="0"/>
            <w:vAlign w:val="center"/>
          </w:tcPr>
          <w:p w14:paraId="36F64EB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AE58A2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F8DE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9DBE6E3">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66E13AC9">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196A584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7BA24F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304128E">
            <w:pPr>
              <w:widowControl/>
              <w:spacing w:line="0" w:lineRule="atLeast"/>
              <w:jc w:val="center"/>
              <w:rPr>
                <w:rFonts w:ascii="仿宋" w:hAnsi="仿宋" w:eastAsia="仿宋" w:cs="仿宋"/>
                <w:bCs/>
                <w:spacing w:val="-10"/>
                <w:kern w:val="0"/>
                <w:sz w:val="24"/>
              </w:rPr>
            </w:pPr>
          </w:p>
        </w:tc>
        <w:tc>
          <w:tcPr>
            <w:tcW w:w="850" w:type="dxa"/>
            <w:noWrap w:val="0"/>
            <w:vAlign w:val="center"/>
          </w:tcPr>
          <w:p w14:paraId="12B0DDF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BD273EF">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按照《南水北调中线一期工程总干渠河北段饮用水水源保护区划定和完善方案》中相应水源保护区的要求管控。</w:t>
            </w:r>
          </w:p>
        </w:tc>
      </w:tr>
      <w:tr w14:paraId="229F9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4B3B804">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35C09F9">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1176731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7C6175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F3B339D">
            <w:pPr>
              <w:widowControl/>
              <w:spacing w:line="0" w:lineRule="atLeast"/>
              <w:jc w:val="center"/>
              <w:rPr>
                <w:rFonts w:ascii="仿宋" w:hAnsi="仿宋" w:eastAsia="仿宋" w:cs="仿宋"/>
                <w:bCs/>
                <w:spacing w:val="-10"/>
                <w:kern w:val="0"/>
                <w:sz w:val="24"/>
              </w:rPr>
            </w:pPr>
          </w:p>
        </w:tc>
        <w:tc>
          <w:tcPr>
            <w:tcW w:w="850" w:type="dxa"/>
            <w:noWrap w:val="0"/>
            <w:vAlign w:val="center"/>
          </w:tcPr>
          <w:p w14:paraId="0B6FB7C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745718F">
            <w:pPr>
              <w:widowControl/>
              <w:spacing w:line="0" w:lineRule="atLeast"/>
              <w:jc w:val="left"/>
              <w:rPr>
                <w:rFonts w:ascii="仿宋" w:hAnsi="仿宋" w:eastAsia="仿宋" w:cs="仿宋"/>
                <w:spacing w:val="-10"/>
                <w:kern w:val="0"/>
                <w:sz w:val="24"/>
              </w:rPr>
            </w:pPr>
            <w:r>
              <w:rPr>
                <w:rFonts w:hint="eastAsia" w:ascii="仿宋" w:hAnsi="仿宋" w:eastAsia="仿宋" w:cs="仿宋"/>
                <w:spacing w:val="-10"/>
                <w:kern w:val="0"/>
                <w:sz w:val="24"/>
              </w:rPr>
              <w:t>—</w:t>
            </w:r>
          </w:p>
        </w:tc>
      </w:tr>
      <w:tr w14:paraId="57134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BC93F3F">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04AE3E58">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3F84439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FC6030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C3A337D">
            <w:pPr>
              <w:widowControl/>
              <w:spacing w:line="0" w:lineRule="atLeast"/>
              <w:jc w:val="center"/>
              <w:rPr>
                <w:rFonts w:ascii="仿宋" w:hAnsi="仿宋" w:eastAsia="仿宋" w:cs="仿宋"/>
                <w:bCs/>
                <w:spacing w:val="-10"/>
                <w:kern w:val="0"/>
                <w:sz w:val="24"/>
              </w:rPr>
            </w:pPr>
          </w:p>
        </w:tc>
        <w:tc>
          <w:tcPr>
            <w:tcW w:w="850" w:type="dxa"/>
            <w:noWrap w:val="0"/>
            <w:vAlign w:val="center"/>
          </w:tcPr>
          <w:p w14:paraId="2FF7EC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2C0BF2E">
            <w:pPr>
              <w:widowControl/>
              <w:spacing w:line="0" w:lineRule="atLeast"/>
              <w:jc w:val="left"/>
              <w:rPr>
                <w:rFonts w:ascii="仿宋" w:hAnsi="仿宋" w:eastAsia="仿宋" w:cs="仿宋"/>
                <w:spacing w:val="-10"/>
                <w:kern w:val="0"/>
                <w:sz w:val="24"/>
              </w:rPr>
            </w:pPr>
            <w:r>
              <w:rPr>
                <w:rFonts w:hint="eastAsia" w:ascii="仿宋" w:hAnsi="仿宋" w:eastAsia="仿宋" w:cs="仿宋"/>
                <w:spacing w:val="-10"/>
                <w:kern w:val="0"/>
                <w:sz w:val="24"/>
              </w:rPr>
              <w:t>—</w:t>
            </w:r>
          </w:p>
        </w:tc>
      </w:tr>
      <w:tr w14:paraId="3E280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4BCDE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ZH13042710104</w:t>
            </w:r>
          </w:p>
        </w:tc>
        <w:tc>
          <w:tcPr>
            <w:tcW w:w="792" w:type="dxa"/>
            <w:vMerge w:val="restart"/>
            <w:noWrap w:val="0"/>
            <w:vAlign w:val="center"/>
          </w:tcPr>
          <w:p w14:paraId="1781CC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1EABEF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磁州镇、光禄镇、路村营乡</w:t>
            </w:r>
          </w:p>
        </w:tc>
        <w:tc>
          <w:tcPr>
            <w:tcW w:w="709" w:type="dxa"/>
            <w:vMerge w:val="restart"/>
            <w:noWrap w:val="0"/>
            <w:vAlign w:val="center"/>
          </w:tcPr>
          <w:p w14:paraId="44349A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464FDFE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省级风景名胜区-溢泉湖风景名胜区</w:t>
            </w:r>
          </w:p>
        </w:tc>
        <w:tc>
          <w:tcPr>
            <w:tcW w:w="850" w:type="dxa"/>
            <w:noWrap w:val="0"/>
            <w:vAlign w:val="center"/>
          </w:tcPr>
          <w:p w14:paraId="6A33B7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06587FB">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按照《中华人民共和国风景名胜区条例》及相关管理要求执行。</w:t>
            </w:r>
          </w:p>
        </w:tc>
      </w:tr>
      <w:tr w14:paraId="7C119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60E1221">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1477E88D">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53B4200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10410A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EB18460">
            <w:pPr>
              <w:widowControl/>
              <w:spacing w:line="0" w:lineRule="atLeast"/>
              <w:jc w:val="center"/>
              <w:rPr>
                <w:rFonts w:ascii="仿宋" w:hAnsi="仿宋" w:eastAsia="仿宋" w:cs="仿宋"/>
                <w:bCs/>
                <w:spacing w:val="-10"/>
                <w:kern w:val="0"/>
                <w:sz w:val="24"/>
              </w:rPr>
            </w:pPr>
          </w:p>
        </w:tc>
        <w:tc>
          <w:tcPr>
            <w:tcW w:w="850" w:type="dxa"/>
            <w:noWrap w:val="0"/>
            <w:vAlign w:val="center"/>
          </w:tcPr>
          <w:p w14:paraId="7B664B9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0D6A59B">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w:t>
            </w:r>
          </w:p>
        </w:tc>
      </w:tr>
      <w:tr w14:paraId="0D830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7B9C2B4">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08D2E37">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4F7232D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63BB61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2E2930C">
            <w:pPr>
              <w:widowControl/>
              <w:spacing w:line="0" w:lineRule="atLeast"/>
              <w:jc w:val="center"/>
              <w:rPr>
                <w:rFonts w:ascii="仿宋" w:hAnsi="仿宋" w:eastAsia="仿宋" w:cs="仿宋"/>
                <w:bCs/>
                <w:spacing w:val="-10"/>
                <w:kern w:val="0"/>
                <w:sz w:val="24"/>
              </w:rPr>
            </w:pPr>
          </w:p>
        </w:tc>
        <w:tc>
          <w:tcPr>
            <w:tcW w:w="850" w:type="dxa"/>
            <w:noWrap w:val="0"/>
            <w:vAlign w:val="center"/>
          </w:tcPr>
          <w:p w14:paraId="40F1037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B06A92A">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w:t>
            </w:r>
          </w:p>
        </w:tc>
      </w:tr>
      <w:tr w14:paraId="12424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B5BD794">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D370311">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6E234C7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378AFE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DD26207">
            <w:pPr>
              <w:widowControl/>
              <w:spacing w:line="0" w:lineRule="atLeast"/>
              <w:jc w:val="center"/>
              <w:rPr>
                <w:rFonts w:ascii="仿宋" w:hAnsi="仿宋" w:eastAsia="仿宋" w:cs="仿宋"/>
                <w:bCs/>
                <w:spacing w:val="-10"/>
                <w:kern w:val="0"/>
                <w:sz w:val="24"/>
              </w:rPr>
            </w:pPr>
          </w:p>
        </w:tc>
        <w:tc>
          <w:tcPr>
            <w:tcW w:w="850" w:type="dxa"/>
            <w:noWrap w:val="0"/>
            <w:vAlign w:val="center"/>
          </w:tcPr>
          <w:p w14:paraId="503FD63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90B70E7">
            <w:pPr>
              <w:widowControl/>
              <w:spacing w:line="0" w:lineRule="atLeast"/>
              <w:ind w:firstLine="440" w:firstLineChars="200"/>
              <w:jc w:val="left"/>
              <w:rPr>
                <w:rFonts w:ascii="仿宋" w:hAnsi="仿宋" w:eastAsia="仿宋" w:cs="仿宋"/>
                <w:spacing w:val="-10"/>
                <w:kern w:val="0"/>
                <w:sz w:val="24"/>
              </w:rPr>
            </w:pPr>
            <w:r>
              <w:rPr>
                <w:rFonts w:hint="eastAsia" w:ascii="仿宋" w:hAnsi="仿宋" w:eastAsia="仿宋" w:cs="仿宋"/>
                <w:spacing w:val="-10"/>
                <w:kern w:val="0"/>
                <w:sz w:val="24"/>
              </w:rPr>
              <w:t>—</w:t>
            </w:r>
          </w:p>
        </w:tc>
      </w:tr>
      <w:tr w14:paraId="59F9E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8B1F83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ZH13042720105</w:t>
            </w:r>
          </w:p>
        </w:tc>
        <w:tc>
          <w:tcPr>
            <w:tcW w:w="792" w:type="dxa"/>
            <w:vMerge w:val="restart"/>
            <w:noWrap w:val="0"/>
            <w:vAlign w:val="center"/>
          </w:tcPr>
          <w:p w14:paraId="0DED27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71CCCC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讲武城镇、时村营乡、西固义乡</w:t>
            </w:r>
          </w:p>
        </w:tc>
        <w:tc>
          <w:tcPr>
            <w:tcW w:w="709" w:type="dxa"/>
            <w:vMerge w:val="restart"/>
            <w:noWrap w:val="0"/>
            <w:vAlign w:val="center"/>
          </w:tcPr>
          <w:p w14:paraId="0D9D63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735CAE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大气环境高排放重点管控区、水环境工业污染重点管控区、磁县经济开发区</w:t>
            </w:r>
          </w:p>
        </w:tc>
        <w:tc>
          <w:tcPr>
            <w:tcW w:w="850" w:type="dxa"/>
            <w:noWrap w:val="0"/>
            <w:vAlign w:val="center"/>
          </w:tcPr>
          <w:p w14:paraId="58DFDA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5197130">
            <w:pPr>
              <w:widowControl/>
              <w:spacing w:line="0" w:lineRule="atLeast"/>
              <w:ind w:firstLine="400" w:firstLineChars="200"/>
              <w:rPr>
                <w:rFonts w:ascii="仿宋" w:hAnsi="仿宋" w:eastAsia="仿宋" w:cs="仿宋"/>
                <w:spacing w:val="-20"/>
                <w:sz w:val="24"/>
              </w:rPr>
            </w:pPr>
            <w:r>
              <w:rPr>
                <w:rFonts w:hint="eastAsia" w:ascii="仿宋" w:hAnsi="仿宋" w:eastAsia="仿宋" w:cs="仿宋"/>
                <w:bCs/>
                <w:spacing w:val="-20"/>
                <w:kern w:val="0"/>
                <w:sz w:val="24"/>
              </w:rPr>
              <w:t>与开发区规划主导产业发展方向冲突的项目、不能实现污染物总量控制要求的项目、不符合相关产业清洁生产水平的项目、万元工业增加值污染物排放、取水量及能耗指标劣于规划指标的建设项目、取用深层地下水用于工业生产的项目、风险防控措施不能满足环境风险管理要求的相关建设项目禁止入区。</w:t>
            </w:r>
          </w:p>
        </w:tc>
      </w:tr>
      <w:tr w14:paraId="2FE7D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178FBAC">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3B72B16E">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1D7297C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1FDCA3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1142318">
            <w:pPr>
              <w:widowControl/>
              <w:spacing w:line="0" w:lineRule="atLeast"/>
              <w:jc w:val="center"/>
              <w:rPr>
                <w:rFonts w:ascii="仿宋" w:hAnsi="仿宋" w:eastAsia="仿宋" w:cs="仿宋"/>
                <w:bCs/>
                <w:spacing w:val="-10"/>
                <w:kern w:val="0"/>
                <w:sz w:val="24"/>
              </w:rPr>
            </w:pPr>
          </w:p>
        </w:tc>
        <w:tc>
          <w:tcPr>
            <w:tcW w:w="850" w:type="dxa"/>
            <w:noWrap w:val="0"/>
            <w:vAlign w:val="center"/>
          </w:tcPr>
          <w:p w14:paraId="514AD9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E80EE11">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入区项目必须实现区域污染物总量的削减，在不增加区域污染物总量排放量的前提下，方可同意项目入区。2.开发区现有及拟入区煤化工企业必须执行《炼焦化学工业污染物排放标准》(GB16171-2012)中特别排放限值要求。</w:t>
            </w:r>
          </w:p>
        </w:tc>
      </w:tr>
      <w:tr w14:paraId="2C2AD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75" w:hRule="atLeast"/>
          <w:jc w:val="center"/>
        </w:trPr>
        <w:tc>
          <w:tcPr>
            <w:tcW w:w="595" w:type="dxa"/>
            <w:vMerge w:val="continue"/>
            <w:noWrap w:val="0"/>
            <w:vAlign w:val="center"/>
          </w:tcPr>
          <w:p w14:paraId="1A937E1F">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639B69A9">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2630782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4B5D11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966D995">
            <w:pPr>
              <w:widowControl/>
              <w:spacing w:line="0" w:lineRule="atLeast"/>
              <w:jc w:val="center"/>
              <w:rPr>
                <w:rFonts w:ascii="仿宋" w:hAnsi="仿宋" w:eastAsia="仿宋" w:cs="仿宋"/>
                <w:bCs/>
                <w:spacing w:val="-10"/>
                <w:kern w:val="0"/>
                <w:sz w:val="24"/>
              </w:rPr>
            </w:pPr>
          </w:p>
        </w:tc>
        <w:tc>
          <w:tcPr>
            <w:tcW w:w="850" w:type="dxa"/>
            <w:noWrap w:val="0"/>
            <w:vAlign w:val="center"/>
          </w:tcPr>
          <w:p w14:paraId="6534A2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FF52D7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危险废物集中处置厂（邯郸市惠天环保科技有限公司）贮存危险废物需满足《中华人民共和国固体废物污染环境防治法》及《关于加强危险废物贮存管理的通知》(冀环办字函〔2019〕407号)规定；危废填埋场需执行《危险废物填埋污染控制标准》（GB18598-2019）要求；需根据河北省生态环境厅发布的《关于建设全省危险废物智能监控体系的通知》（冀环办发〔2017〕112号）要求建立危险废物智能监控体系；危险废物焚烧处置企业需满足《危险废物焚烧污染控制标准》（GB18484-2020）标准要求。2.开发区及入区企业需组织编制《环境风险应急预案》，成立应急组织机构，定期开展应急演练，提高区域环境风险防范能力。</w:t>
            </w:r>
          </w:p>
        </w:tc>
      </w:tr>
      <w:tr w14:paraId="05658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25" w:hRule="atLeast"/>
          <w:jc w:val="center"/>
        </w:trPr>
        <w:tc>
          <w:tcPr>
            <w:tcW w:w="595" w:type="dxa"/>
            <w:vMerge w:val="continue"/>
            <w:noWrap w:val="0"/>
            <w:vAlign w:val="center"/>
          </w:tcPr>
          <w:p w14:paraId="032F2B16">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02A31B0F">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616B653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884079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AC61645">
            <w:pPr>
              <w:widowControl/>
              <w:spacing w:line="0" w:lineRule="atLeast"/>
              <w:jc w:val="center"/>
              <w:rPr>
                <w:rFonts w:ascii="仿宋" w:hAnsi="仿宋" w:eastAsia="仿宋" w:cs="仿宋"/>
                <w:bCs/>
                <w:spacing w:val="-10"/>
                <w:kern w:val="0"/>
                <w:sz w:val="24"/>
              </w:rPr>
            </w:pPr>
          </w:p>
        </w:tc>
        <w:tc>
          <w:tcPr>
            <w:tcW w:w="850" w:type="dxa"/>
            <w:noWrap w:val="0"/>
            <w:vAlign w:val="center"/>
          </w:tcPr>
          <w:p w14:paraId="360B3B8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01B516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单位工业增加值新鲜水耗≤8立方米/万元。再生水回用率100%。工业固体废物（含危险废物）处置利用率100%。单位工业增加值综合能耗≤0.5吨标准煤/万元。</w:t>
            </w:r>
          </w:p>
        </w:tc>
      </w:tr>
      <w:tr w14:paraId="48A7D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8865A2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ZH13042720106</w:t>
            </w:r>
          </w:p>
        </w:tc>
        <w:tc>
          <w:tcPr>
            <w:tcW w:w="792" w:type="dxa"/>
            <w:vMerge w:val="restart"/>
            <w:noWrap w:val="0"/>
            <w:vAlign w:val="center"/>
          </w:tcPr>
          <w:p w14:paraId="425D2D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1794DE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讲武城镇</w:t>
            </w:r>
          </w:p>
        </w:tc>
        <w:tc>
          <w:tcPr>
            <w:tcW w:w="709" w:type="dxa"/>
            <w:vMerge w:val="restart"/>
            <w:noWrap w:val="0"/>
            <w:vAlign w:val="center"/>
          </w:tcPr>
          <w:p w14:paraId="094F70A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BBC44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大气环境高排放重点管控区、水环境工业污染重点管控区、磁县经济开发区</w:t>
            </w:r>
          </w:p>
        </w:tc>
        <w:tc>
          <w:tcPr>
            <w:tcW w:w="850" w:type="dxa"/>
            <w:noWrap w:val="0"/>
            <w:vAlign w:val="center"/>
          </w:tcPr>
          <w:p w14:paraId="44B2DC7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24745C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漳河自西向东穿过整个开发区，漳河河道管理范围内符合防洪法、河道管理条例等相关规定，防止规划实施过程中对漳河两岸防洪安全产生不利影响。2.《产业结构调整指导目录（2019年本）》属于限制类和淘汰类的建设项目、工业生产取用地下水的建设项目、规划工业不与旅游文化产业相结合，不符合规划产业整体发展方向的建设项目、不符合相关行业准入条件要求的建设项目、清洁生产水平不能达到国家清洁生产水平二级以上的建设项目、万元工业增加值污染物排放、水耗及能耗指标劣于规划指标要求的建设项目、污染物排放不能达到特别排放限值要求及不能满足落实颗粒物、二氧化硫、氮氧化物2倍总量替代削减的建设项目禁止入区。</w:t>
            </w:r>
          </w:p>
        </w:tc>
      </w:tr>
      <w:tr w14:paraId="10ECF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DE43197">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0BDF70A5">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3CA9F57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ABE835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CD053BE">
            <w:pPr>
              <w:widowControl/>
              <w:spacing w:line="0" w:lineRule="atLeast"/>
              <w:jc w:val="center"/>
              <w:rPr>
                <w:rFonts w:ascii="仿宋" w:hAnsi="仿宋" w:eastAsia="仿宋" w:cs="仿宋"/>
                <w:bCs/>
                <w:spacing w:val="-10"/>
                <w:kern w:val="0"/>
                <w:sz w:val="24"/>
              </w:rPr>
            </w:pPr>
          </w:p>
        </w:tc>
        <w:tc>
          <w:tcPr>
            <w:tcW w:w="850" w:type="dxa"/>
            <w:noWrap w:val="0"/>
            <w:vAlign w:val="center"/>
          </w:tcPr>
          <w:p w14:paraId="62E0E6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608F20E">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开发区工业企业污染物排放满足《工业企业挥发性有机物排放控制标准》（DB13/2322-2016）、《挥发性有机物无组织排放控制标准》（GB37822-2019）、《锅炉大气污染物排放标准》（DB13/5161-2020）、《工业炉窑大气污染物排放标准》（DB13/1640-2012）相应排放限值要求，并满足《关于印发〈河北省工业炉窑</w:t>
            </w:r>
            <w:r>
              <w:rPr>
                <w:rFonts w:hint="eastAsia" w:ascii="仿宋" w:hAnsi="仿宋" w:eastAsia="仿宋" w:cs="仿宋"/>
                <w:bCs/>
                <w:spacing w:val="-16"/>
                <w:kern w:val="0"/>
                <w:sz w:val="24"/>
                <w:lang w:eastAsia="zh-CN"/>
              </w:rPr>
              <w:t>综合治理实施方案〉</w:t>
            </w:r>
            <w:r>
              <w:rPr>
                <w:rFonts w:hint="eastAsia" w:ascii="仿宋" w:hAnsi="仿宋" w:eastAsia="仿宋" w:cs="仿宋"/>
                <w:bCs/>
                <w:spacing w:val="-16"/>
                <w:kern w:val="0"/>
                <w:sz w:val="24"/>
              </w:rPr>
              <w:t>的通知》(冀环大气〔2019〕607号)及“退后十”方案中邯郸限值要求。</w:t>
            </w:r>
          </w:p>
        </w:tc>
      </w:tr>
      <w:tr w14:paraId="1A427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A28223">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087A9446">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50DD91E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187598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20241DF">
            <w:pPr>
              <w:widowControl/>
              <w:spacing w:line="0" w:lineRule="atLeast"/>
              <w:jc w:val="center"/>
              <w:rPr>
                <w:rFonts w:ascii="仿宋" w:hAnsi="仿宋" w:eastAsia="仿宋" w:cs="仿宋"/>
                <w:bCs/>
                <w:spacing w:val="-10"/>
                <w:kern w:val="0"/>
                <w:sz w:val="24"/>
              </w:rPr>
            </w:pPr>
          </w:p>
        </w:tc>
        <w:tc>
          <w:tcPr>
            <w:tcW w:w="850" w:type="dxa"/>
            <w:noWrap w:val="0"/>
            <w:vAlign w:val="center"/>
          </w:tcPr>
          <w:p w14:paraId="6805D46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48BA51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环境风险防范措施从开发区工业用地布局、事故风险防范措施、运输安全风险防范措施及入区企业三级防范体系等方面进行管理。对风险源进行合理布局，建立完善的风险防护体系。</w:t>
            </w:r>
          </w:p>
        </w:tc>
      </w:tr>
      <w:tr w14:paraId="6F215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0231936">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1F26A9A8">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7E1A805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EEE992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2D53412">
            <w:pPr>
              <w:widowControl/>
              <w:spacing w:line="0" w:lineRule="atLeast"/>
              <w:jc w:val="center"/>
              <w:rPr>
                <w:rFonts w:ascii="仿宋" w:hAnsi="仿宋" w:eastAsia="仿宋" w:cs="仿宋"/>
                <w:bCs/>
                <w:spacing w:val="-10"/>
                <w:kern w:val="0"/>
                <w:sz w:val="24"/>
              </w:rPr>
            </w:pPr>
          </w:p>
        </w:tc>
        <w:tc>
          <w:tcPr>
            <w:tcW w:w="850" w:type="dxa"/>
            <w:noWrap w:val="0"/>
            <w:vAlign w:val="center"/>
          </w:tcPr>
          <w:p w14:paraId="1596321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7810000">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单位工业增加值新鲜水耗≤9立方米/万元、单位工业增加值综合能耗≤0.5吨标准煤/万元、工业固体废物（含危险废物）处置利用率100%、再生水回用率100%。2.各用水环节尽量以再生水替代新水，加大再生水利用率；逐步关停开发区重点建设区内现有自备水井。</w:t>
            </w:r>
          </w:p>
        </w:tc>
      </w:tr>
      <w:tr w14:paraId="75ADA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72C98B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ZH13042720107</w:t>
            </w:r>
          </w:p>
        </w:tc>
        <w:tc>
          <w:tcPr>
            <w:tcW w:w="792" w:type="dxa"/>
            <w:vMerge w:val="restart"/>
            <w:noWrap w:val="0"/>
            <w:vAlign w:val="center"/>
          </w:tcPr>
          <w:p w14:paraId="6EBF2D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28D637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讲武城镇、时村营乡</w:t>
            </w:r>
          </w:p>
        </w:tc>
        <w:tc>
          <w:tcPr>
            <w:tcW w:w="709" w:type="dxa"/>
            <w:vMerge w:val="restart"/>
            <w:noWrap w:val="0"/>
            <w:vAlign w:val="center"/>
          </w:tcPr>
          <w:p w14:paraId="023D497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FAFD9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w:t>
            </w:r>
          </w:p>
        </w:tc>
        <w:tc>
          <w:tcPr>
            <w:tcW w:w="850" w:type="dxa"/>
            <w:noWrap w:val="0"/>
            <w:vAlign w:val="center"/>
          </w:tcPr>
          <w:p w14:paraId="07BF26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274B1E8">
            <w:pPr>
              <w:widowControl/>
              <w:spacing w:line="0" w:lineRule="atLeast"/>
              <w:ind w:firstLine="416" w:firstLineChars="200"/>
              <w:rPr>
                <w:rFonts w:ascii="仿宋" w:hAnsi="仿宋" w:eastAsia="仿宋" w:cs="仿宋"/>
                <w:spacing w:val="-16"/>
                <w:sz w:val="24"/>
              </w:rPr>
            </w:pPr>
            <w:r>
              <w:rPr>
                <w:rFonts w:hint="eastAsia" w:ascii="仿宋" w:hAnsi="仿宋" w:eastAsia="仿宋" w:cs="仿宋"/>
                <w:bCs/>
                <w:spacing w:val="-16"/>
                <w:kern w:val="0"/>
                <w:sz w:val="24"/>
              </w:rPr>
              <w:t>1.提高VOCs排放重点行业环保准入门槛，严格控制新增污染物排放量。新建涉VOCs排放的工业企业要入园区。2.省级及以上工业园区以外禁止新建和扩建涂料、油墨、颜料及类似产品制造(等量置换除外)；禁止建设生产和使用高VOCs含量的溶剂型涂料、油墨、胶粘剂等项目。</w:t>
            </w:r>
          </w:p>
        </w:tc>
      </w:tr>
      <w:tr w14:paraId="3FECF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DF93381">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469BD690">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462033C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7B202A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2FFCCEA">
            <w:pPr>
              <w:widowControl/>
              <w:spacing w:line="0" w:lineRule="atLeast"/>
              <w:jc w:val="center"/>
              <w:rPr>
                <w:rFonts w:ascii="仿宋" w:hAnsi="仿宋" w:eastAsia="仿宋" w:cs="仿宋"/>
                <w:bCs/>
                <w:spacing w:val="-10"/>
                <w:kern w:val="0"/>
                <w:sz w:val="24"/>
              </w:rPr>
            </w:pPr>
          </w:p>
        </w:tc>
        <w:tc>
          <w:tcPr>
            <w:tcW w:w="850" w:type="dxa"/>
            <w:noWrap w:val="0"/>
            <w:vAlign w:val="center"/>
          </w:tcPr>
          <w:p w14:paraId="48ADFE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0F9D92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全面加强原辅材料源头替代，从源头减少VOCs产生。涉VOCs重点企业全面执行《挥发性有机物无组织排放控制标准》(GB37822-2019)。选择适宜的废气治理工艺，对VOCs污染源进行有效处理。</w:t>
            </w:r>
          </w:p>
        </w:tc>
      </w:tr>
      <w:tr w14:paraId="73256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74A71BD">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152FCB24">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5067FF5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1CDC8A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BCDEE1B">
            <w:pPr>
              <w:widowControl/>
              <w:spacing w:line="0" w:lineRule="atLeast"/>
              <w:jc w:val="center"/>
              <w:rPr>
                <w:rFonts w:ascii="仿宋" w:hAnsi="仿宋" w:eastAsia="仿宋" w:cs="仿宋"/>
                <w:bCs/>
                <w:spacing w:val="-10"/>
                <w:kern w:val="0"/>
                <w:sz w:val="24"/>
              </w:rPr>
            </w:pPr>
          </w:p>
        </w:tc>
        <w:tc>
          <w:tcPr>
            <w:tcW w:w="850" w:type="dxa"/>
            <w:noWrap w:val="0"/>
            <w:vAlign w:val="center"/>
          </w:tcPr>
          <w:p w14:paraId="23DAFF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DF69D5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5F8A5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860FD26">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C3A4757">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6155246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C9281B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38192EF">
            <w:pPr>
              <w:widowControl/>
              <w:spacing w:line="0" w:lineRule="atLeast"/>
              <w:jc w:val="center"/>
              <w:rPr>
                <w:rFonts w:ascii="仿宋" w:hAnsi="仿宋" w:eastAsia="仿宋" w:cs="仿宋"/>
                <w:bCs/>
                <w:spacing w:val="-10"/>
                <w:kern w:val="0"/>
                <w:sz w:val="24"/>
              </w:rPr>
            </w:pPr>
          </w:p>
        </w:tc>
        <w:tc>
          <w:tcPr>
            <w:tcW w:w="850" w:type="dxa"/>
            <w:noWrap w:val="0"/>
            <w:vAlign w:val="center"/>
          </w:tcPr>
          <w:p w14:paraId="04C2A73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2293DC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115E7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644627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ZH13042720108</w:t>
            </w:r>
          </w:p>
        </w:tc>
        <w:tc>
          <w:tcPr>
            <w:tcW w:w="792" w:type="dxa"/>
            <w:vMerge w:val="restart"/>
            <w:noWrap w:val="0"/>
            <w:vAlign w:val="center"/>
          </w:tcPr>
          <w:p w14:paraId="4C8FF2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0FB34C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磁州镇</w:t>
            </w:r>
          </w:p>
        </w:tc>
        <w:tc>
          <w:tcPr>
            <w:tcW w:w="709" w:type="dxa"/>
            <w:vMerge w:val="restart"/>
            <w:noWrap w:val="0"/>
            <w:vAlign w:val="center"/>
          </w:tcPr>
          <w:p w14:paraId="184DD70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876A1B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w:t>
            </w:r>
          </w:p>
        </w:tc>
        <w:tc>
          <w:tcPr>
            <w:tcW w:w="850" w:type="dxa"/>
            <w:noWrap w:val="0"/>
            <w:vAlign w:val="center"/>
          </w:tcPr>
          <w:p w14:paraId="43374EC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E4A7EC2">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6F73B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54FA7A2">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A719C1A">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7321DA3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FC7B0D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73C6C8E">
            <w:pPr>
              <w:widowControl/>
              <w:spacing w:line="0" w:lineRule="atLeast"/>
              <w:jc w:val="center"/>
              <w:rPr>
                <w:rFonts w:ascii="仿宋" w:hAnsi="仿宋" w:eastAsia="仿宋" w:cs="仿宋"/>
                <w:bCs/>
                <w:spacing w:val="-10"/>
                <w:kern w:val="0"/>
                <w:sz w:val="24"/>
              </w:rPr>
            </w:pPr>
          </w:p>
        </w:tc>
        <w:tc>
          <w:tcPr>
            <w:tcW w:w="850" w:type="dxa"/>
            <w:noWrap w:val="0"/>
            <w:vAlign w:val="center"/>
          </w:tcPr>
          <w:p w14:paraId="06F2CD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top"/>
          </w:tcPr>
          <w:p w14:paraId="3BFC097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水泥行业污染物排放满足《水泥工业大气污染物超低排放标准》（DB13/2167-2020）中相应排放限值要求。2.钢铁、水泥、平板玻璃、陶瓷、焦化、铸造行业企业料堆场按照《煤场、料场、渣场扬尘污染控制技术规范》(DB13/T2352-2016)存储要求，实现规范管理。</w:t>
            </w:r>
          </w:p>
        </w:tc>
      </w:tr>
      <w:tr w14:paraId="16F0E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528D9C0">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0036DE0">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443369D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497834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0135C7A">
            <w:pPr>
              <w:widowControl/>
              <w:spacing w:line="0" w:lineRule="atLeast"/>
              <w:jc w:val="center"/>
              <w:rPr>
                <w:rFonts w:ascii="仿宋" w:hAnsi="仿宋" w:eastAsia="仿宋" w:cs="仿宋"/>
                <w:bCs/>
                <w:spacing w:val="-10"/>
                <w:kern w:val="0"/>
                <w:sz w:val="24"/>
              </w:rPr>
            </w:pPr>
          </w:p>
        </w:tc>
        <w:tc>
          <w:tcPr>
            <w:tcW w:w="850" w:type="dxa"/>
            <w:noWrap w:val="0"/>
            <w:vAlign w:val="center"/>
          </w:tcPr>
          <w:p w14:paraId="26AD79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0AB2F3A">
            <w:pPr>
              <w:widowControl/>
              <w:spacing w:line="0" w:lineRule="atLeast"/>
              <w:ind w:firstLine="440" w:firstLineChars="200"/>
              <w:rPr>
                <w:rFonts w:ascii="仿宋" w:hAnsi="仿宋" w:eastAsia="仿宋" w:cs="仿宋"/>
                <w:sz w:val="24"/>
              </w:rPr>
            </w:pPr>
            <w:r>
              <w:rPr>
                <w:rFonts w:hint="eastAsia" w:ascii="仿宋" w:hAnsi="仿宋" w:eastAsia="仿宋" w:cs="仿宋"/>
                <w:bCs/>
                <w:spacing w:val="-10"/>
                <w:kern w:val="0"/>
                <w:sz w:val="24"/>
              </w:rPr>
              <w:t>—</w:t>
            </w:r>
          </w:p>
        </w:tc>
      </w:tr>
      <w:tr w14:paraId="168BA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A425B0D">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1B4D6948">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55CD549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6BA29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CE0F33B">
            <w:pPr>
              <w:widowControl/>
              <w:spacing w:line="0" w:lineRule="atLeast"/>
              <w:jc w:val="center"/>
              <w:rPr>
                <w:rFonts w:ascii="仿宋" w:hAnsi="仿宋" w:eastAsia="仿宋" w:cs="仿宋"/>
                <w:bCs/>
                <w:spacing w:val="-10"/>
                <w:kern w:val="0"/>
                <w:sz w:val="24"/>
              </w:rPr>
            </w:pPr>
          </w:p>
        </w:tc>
        <w:tc>
          <w:tcPr>
            <w:tcW w:w="850" w:type="dxa"/>
            <w:noWrap w:val="0"/>
            <w:vAlign w:val="center"/>
          </w:tcPr>
          <w:p w14:paraId="1DBE30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A05DC5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64DB0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CD516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ZH13042720109</w:t>
            </w:r>
          </w:p>
        </w:tc>
        <w:tc>
          <w:tcPr>
            <w:tcW w:w="792" w:type="dxa"/>
            <w:vMerge w:val="restart"/>
            <w:noWrap w:val="0"/>
            <w:vAlign w:val="center"/>
          </w:tcPr>
          <w:p w14:paraId="62EE9CF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193FBBDB">
            <w:pPr>
              <w:widowControl/>
              <w:spacing w:line="0" w:lineRule="atLeast"/>
              <w:jc w:val="center"/>
              <w:rPr>
                <w:rFonts w:hint="eastAsia" w:ascii="仿宋" w:hAnsi="仿宋" w:eastAsia="仿宋" w:cs="仿宋"/>
                <w:bCs/>
                <w:spacing w:val="-10"/>
                <w:kern w:val="0"/>
                <w:sz w:val="24"/>
                <w:lang w:eastAsia="zh-CN"/>
              </w:rPr>
            </w:pPr>
            <w:r>
              <w:rPr>
                <w:rFonts w:hint="eastAsia" w:ascii="仿宋" w:hAnsi="仿宋" w:eastAsia="仿宋" w:cs="仿宋"/>
                <w:bCs/>
                <w:spacing w:val="-10"/>
                <w:kern w:val="0"/>
                <w:sz w:val="24"/>
              </w:rPr>
              <w:t>西固义乡</w:t>
            </w:r>
            <w:r>
              <w:rPr>
                <w:rFonts w:hint="eastAsia" w:ascii="仿宋" w:hAnsi="仿宋" w:eastAsia="仿宋" w:cs="仿宋"/>
                <w:bCs/>
                <w:spacing w:val="-10"/>
                <w:kern w:val="0"/>
                <w:sz w:val="24"/>
                <w:lang w:eastAsia="zh-CN"/>
              </w:rPr>
              <w:t>（峰峰矿区托管）</w:t>
            </w:r>
          </w:p>
        </w:tc>
        <w:tc>
          <w:tcPr>
            <w:tcW w:w="709" w:type="dxa"/>
            <w:vMerge w:val="restart"/>
            <w:noWrap w:val="0"/>
            <w:vAlign w:val="center"/>
          </w:tcPr>
          <w:p w14:paraId="55F610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2E60D2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大气环境高排放重点管控区、水环境工业污染重点管控区、河北峰峰经济开发区_电子信息与高端装备产业园</w:t>
            </w:r>
          </w:p>
        </w:tc>
        <w:tc>
          <w:tcPr>
            <w:tcW w:w="850" w:type="dxa"/>
            <w:noWrap w:val="0"/>
            <w:vAlign w:val="center"/>
          </w:tcPr>
          <w:p w14:paraId="409E119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CEE4C2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按照河北峰峰经济开发区电子信息与高端装备产业园管控要求执行。</w:t>
            </w:r>
          </w:p>
        </w:tc>
      </w:tr>
      <w:tr w14:paraId="37E58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9E9259">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3C3A79FC">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39FEA28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B3A45E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E6ECD80">
            <w:pPr>
              <w:widowControl/>
              <w:spacing w:line="0" w:lineRule="atLeast"/>
              <w:jc w:val="center"/>
              <w:rPr>
                <w:rFonts w:ascii="仿宋" w:hAnsi="仿宋" w:eastAsia="仿宋" w:cs="仿宋"/>
                <w:bCs/>
                <w:spacing w:val="-10"/>
                <w:kern w:val="0"/>
                <w:sz w:val="24"/>
              </w:rPr>
            </w:pPr>
          </w:p>
        </w:tc>
        <w:tc>
          <w:tcPr>
            <w:tcW w:w="850" w:type="dxa"/>
            <w:noWrap w:val="0"/>
            <w:vAlign w:val="center"/>
          </w:tcPr>
          <w:p w14:paraId="0DD55B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114EEE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按照河北峰峰经济开发区电子信息与高端装备产业园管控要求执行。</w:t>
            </w:r>
          </w:p>
        </w:tc>
      </w:tr>
      <w:tr w14:paraId="33107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A905DB7">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6C43FCF7">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67E85CB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4072D3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CCD94BA">
            <w:pPr>
              <w:widowControl/>
              <w:spacing w:line="0" w:lineRule="atLeast"/>
              <w:jc w:val="center"/>
              <w:rPr>
                <w:rFonts w:ascii="仿宋" w:hAnsi="仿宋" w:eastAsia="仿宋" w:cs="仿宋"/>
                <w:bCs/>
                <w:spacing w:val="-10"/>
                <w:kern w:val="0"/>
                <w:sz w:val="24"/>
              </w:rPr>
            </w:pPr>
          </w:p>
        </w:tc>
        <w:tc>
          <w:tcPr>
            <w:tcW w:w="850" w:type="dxa"/>
            <w:noWrap w:val="0"/>
            <w:vAlign w:val="center"/>
          </w:tcPr>
          <w:p w14:paraId="64845E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ADA8AA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按照河北峰峰经济开发区电子信息与高端装备产业园管控要求执行。</w:t>
            </w:r>
          </w:p>
        </w:tc>
      </w:tr>
      <w:tr w14:paraId="22BD2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4115598">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CB833A4">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22A9FA7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BC2B74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3DAE479">
            <w:pPr>
              <w:widowControl/>
              <w:spacing w:line="0" w:lineRule="atLeast"/>
              <w:jc w:val="center"/>
              <w:rPr>
                <w:rFonts w:ascii="仿宋" w:hAnsi="仿宋" w:eastAsia="仿宋" w:cs="仿宋"/>
                <w:bCs/>
                <w:spacing w:val="-10"/>
                <w:kern w:val="0"/>
                <w:sz w:val="24"/>
              </w:rPr>
            </w:pPr>
          </w:p>
        </w:tc>
        <w:tc>
          <w:tcPr>
            <w:tcW w:w="850" w:type="dxa"/>
            <w:noWrap w:val="0"/>
            <w:vAlign w:val="center"/>
          </w:tcPr>
          <w:p w14:paraId="68A37A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0E5F59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2E36F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DDDF9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ZH13042730110</w:t>
            </w:r>
          </w:p>
        </w:tc>
        <w:tc>
          <w:tcPr>
            <w:tcW w:w="792" w:type="dxa"/>
            <w:vMerge w:val="restart"/>
            <w:noWrap w:val="0"/>
            <w:vAlign w:val="center"/>
          </w:tcPr>
          <w:p w14:paraId="69E60F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磁县</w:t>
            </w:r>
          </w:p>
        </w:tc>
        <w:tc>
          <w:tcPr>
            <w:tcW w:w="909" w:type="dxa"/>
            <w:vMerge w:val="restart"/>
            <w:noWrap w:val="0"/>
            <w:vAlign w:val="center"/>
          </w:tcPr>
          <w:p w14:paraId="089C6E3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白土镇、北贾璧乡、磁州镇、都党乡、观台镇、光禄镇、黄沙镇、讲武城镇、路村营乡、时村营乡、陶泉乡、岳城镇</w:t>
            </w:r>
          </w:p>
        </w:tc>
        <w:tc>
          <w:tcPr>
            <w:tcW w:w="709" w:type="dxa"/>
            <w:vMerge w:val="restart"/>
            <w:noWrap w:val="0"/>
            <w:vAlign w:val="center"/>
          </w:tcPr>
          <w:p w14:paraId="5A0DE64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2049E6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7D100E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1DE9259">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禁止建设《产业结构调整指导目录(2019年本)》中禁止类项目及设备(如砖瓦轮窑以及立窑、无顶轮窑、马蹄窑等土窑、普通挤砖机等）。</w:t>
            </w:r>
          </w:p>
        </w:tc>
      </w:tr>
      <w:tr w14:paraId="1A754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F3FB468">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7881B121">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43B3FBF5">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4A67EB0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F44B347">
            <w:pPr>
              <w:widowControl/>
              <w:spacing w:line="0" w:lineRule="atLeast"/>
              <w:jc w:val="center"/>
              <w:rPr>
                <w:rFonts w:ascii="仿宋" w:hAnsi="仿宋" w:eastAsia="仿宋" w:cs="仿宋"/>
                <w:bCs/>
                <w:spacing w:val="-10"/>
                <w:kern w:val="0"/>
                <w:sz w:val="24"/>
              </w:rPr>
            </w:pPr>
          </w:p>
        </w:tc>
        <w:tc>
          <w:tcPr>
            <w:tcW w:w="850" w:type="dxa"/>
            <w:noWrap w:val="0"/>
            <w:vAlign w:val="center"/>
          </w:tcPr>
          <w:p w14:paraId="75BA7C2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06B4EFC">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砖瓦行业污染物排放满足《砖瓦工业大气污染物排放标准》（GB2962-2013）及修改单中相应排放限值要求。3.冲天炉、玻璃熔窑、以煤和煤矸石为燃料的砖瓦烧结窑、耐火材料焙烧窑(电窑除外)、炭素焙(煅)烧炉(窑)、石灰窑、和精炼炉等，原则上应纳入重点排污单位名录，安装自动监控设施。4.对涉粉状物料十大行业按照“退后十”方案中相应要求管理。5.工业炉窑污染物排放满足《工业炉窑大气污染物排放标准》 (DB13/1640-2012)和《关于印发〈河北省工业炉窑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6B93D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7DC6B1">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5A879594">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0C1FB39E">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3508EE3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9E37CB7">
            <w:pPr>
              <w:widowControl/>
              <w:spacing w:line="0" w:lineRule="atLeast"/>
              <w:jc w:val="center"/>
              <w:rPr>
                <w:rFonts w:ascii="仿宋" w:hAnsi="仿宋" w:eastAsia="仿宋" w:cs="仿宋"/>
                <w:bCs/>
                <w:spacing w:val="-10"/>
                <w:kern w:val="0"/>
                <w:sz w:val="24"/>
              </w:rPr>
            </w:pPr>
          </w:p>
        </w:tc>
        <w:tc>
          <w:tcPr>
            <w:tcW w:w="850" w:type="dxa"/>
            <w:noWrap w:val="0"/>
            <w:vAlign w:val="center"/>
          </w:tcPr>
          <w:p w14:paraId="54B54BB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526255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513FC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91BD764">
            <w:pPr>
              <w:widowControl/>
              <w:spacing w:line="0" w:lineRule="atLeast"/>
              <w:jc w:val="center"/>
              <w:rPr>
                <w:rFonts w:ascii="仿宋" w:hAnsi="仿宋" w:eastAsia="仿宋" w:cs="仿宋"/>
                <w:bCs/>
                <w:spacing w:val="-10"/>
                <w:kern w:val="0"/>
                <w:sz w:val="24"/>
              </w:rPr>
            </w:pPr>
          </w:p>
        </w:tc>
        <w:tc>
          <w:tcPr>
            <w:tcW w:w="792" w:type="dxa"/>
            <w:vMerge w:val="continue"/>
            <w:noWrap w:val="0"/>
            <w:vAlign w:val="center"/>
          </w:tcPr>
          <w:p w14:paraId="2BBDF779">
            <w:pPr>
              <w:widowControl/>
              <w:spacing w:line="0" w:lineRule="atLeast"/>
              <w:jc w:val="center"/>
              <w:rPr>
                <w:rFonts w:ascii="仿宋" w:hAnsi="仿宋" w:eastAsia="仿宋" w:cs="仿宋"/>
                <w:bCs/>
                <w:spacing w:val="-10"/>
                <w:kern w:val="0"/>
                <w:sz w:val="24"/>
              </w:rPr>
            </w:pPr>
          </w:p>
        </w:tc>
        <w:tc>
          <w:tcPr>
            <w:tcW w:w="909" w:type="dxa"/>
            <w:vMerge w:val="continue"/>
            <w:noWrap w:val="0"/>
            <w:vAlign w:val="center"/>
          </w:tcPr>
          <w:p w14:paraId="27C52F55">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757AA4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806E78D">
            <w:pPr>
              <w:widowControl/>
              <w:spacing w:line="0" w:lineRule="atLeast"/>
              <w:jc w:val="center"/>
              <w:rPr>
                <w:rFonts w:ascii="仿宋" w:hAnsi="仿宋" w:eastAsia="仿宋" w:cs="仿宋"/>
                <w:bCs/>
                <w:spacing w:val="-10"/>
                <w:kern w:val="0"/>
                <w:sz w:val="24"/>
              </w:rPr>
            </w:pPr>
          </w:p>
        </w:tc>
        <w:tc>
          <w:tcPr>
            <w:tcW w:w="850" w:type="dxa"/>
            <w:noWrap w:val="0"/>
            <w:vAlign w:val="center"/>
          </w:tcPr>
          <w:p w14:paraId="1D4590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F57C55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w:t>
            </w:r>
          </w:p>
        </w:tc>
      </w:tr>
    </w:tbl>
    <w:p w14:paraId="29709378">
      <w:pPr>
        <w:pStyle w:val="10"/>
        <w:numPr>
          <w:ilvl w:val="1"/>
          <w:numId w:val="0"/>
        </w:numPr>
        <w:spacing w:beforeLines="50"/>
        <w:outlineLvl w:val="1"/>
        <w:rPr>
          <w:rFonts w:ascii="仿宋" w:hAnsi="仿宋" w:eastAsia="仿宋" w:cs="仿宋"/>
          <w:b/>
          <w:sz w:val="28"/>
          <w:szCs w:val="18"/>
        </w:rPr>
      </w:pPr>
      <w:r>
        <w:rPr>
          <w:rFonts w:hint="eastAsia" w:ascii="仿宋" w:hAnsi="仿宋" w:eastAsia="仿宋" w:cs="仿宋"/>
        </w:rPr>
        <w:br w:type="page"/>
      </w:r>
      <w:r>
        <w:rPr>
          <w:rFonts w:hint="eastAsia" w:ascii="仿宋" w:hAnsi="仿宋" w:eastAsia="仿宋" w:cs="仿宋"/>
          <w:bCs/>
          <w:sz w:val="32"/>
          <w:szCs w:val="32"/>
        </w:rPr>
        <w:t>（十二）邱县生态环境准入清单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790"/>
        <w:gridCol w:w="911"/>
        <w:gridCol w:w="709"/>
        <w:gridCol w:w="851"/>
        <w:gridCol w:w="850"/>
        <w:gridCol w:w="4195"/>
      </w:tblGrid>
      <w:tr w14:paraId="26A8A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17733B0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790" w:type="dxa"/>
            <w:shd w:val="clear" w:color="auto" w:fill="D7D7D7"/>
            <w:noWrap w:val="0"/>
            <w:vAlign w:val="center"/>
          </w:tcPr>
          <w:p w14:paraId="6658A14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911" w:type="dxa"/>
            <w:shd w:val="clear" w:color="auto" w:fill="D7D7D7"/>
            <w:noWrap w:val="0"/>
            <w:vAlign w:val="center"/>
          </w:tcPr>
          <w:p w14:paraId="1903DD5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0015BB6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64D8ECC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394A727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7A2A514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3FB85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3C183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ZH13043010111</w:t>
            </w:r>
          </w:p>
        </w:tc>
        <w:tc>
          <w:tcPr>
            <w:tcW w:w="790" w:type="dxa"/>
            <w:vMerge w:val="restart"/>
            <w:noWrap w:val="0"/>
            <w:vAlign w:val="center"/>
          </w:tcPr>
          <w:p w14:paraId="026B11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邱县</w:t>
            </w:r>
          </w:p>
        </w:tc>
        <w:tc>
          <w:tcPr>
            <w:tcW w:w="911" w:type="dxa"/>
            <w:vMerge w:val="restart"/>
            <w:noWrap w:val="0"/>
            <w:vAlign w:val="center"/>
          </w:tcPr>
          <w:p w14:paraId="1092B68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香城固镇、古城营镇</w:t>
            </w:r>
          </w:p>
        </w:tc>
        <w:tc>
          <w:tcPr>
            <w:tcW w:w="709" w:type="dxa"/>
            <w:vMerge w:val="restart"/>
            <w:noWrap w:val="0"/>
            <w:vAlign w:val="center"/>
          </w:tcPr>
          <w:p w14:paraId="0805208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72AB27A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1FDCF5F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8610BAC">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75737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5CC0EE7">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1C837508">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21E8214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694F09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E8228CA">
            <w:pPr>
              <w:widowControl/>
              <w:spacing w:line="0" w:lineRule="atLeast"/>
              <w:jc w:val="center"/>
              <w:rPr>
                <w:rFonts w:ascii="仿宋" w:hAnsi="仿宋" w:eastAsia="仿宋" w:cs="仿宋"/>
                <w:bCs/>
                <w:spacing w:val="-10"/>
                <w:kern w:val="0"/>
                <w:sz w:val="24"/>
              </w:rPr>
            </w:pPr>
          </w:p>
        </w:tc>
        <w:tc>
          <w:tcPr>
            <w:tcW w:w="850" w:type="dxa"/>
            <w:noWrap w:val="0"/>
            <w:vAlign w:val="center"/>
          </w:tcPr>
          <w:p w14:paraId="0BA665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F1FF083">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04972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16C5C67">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526256F3">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3774DDB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6C04FB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CB2FE7E">
            <w:pPr>
              <w:widowControl/>
              <w:spacing w:line="0" w:lineRule="atLeast"/>
              <w:jc w:val="center"/>
              <w:rPr>
                <w:rFonts w:ascii="仿宋" w:hAnsi="仿宋" w:eastAsia="仿宋" w:cs="仿宋"/>
                <w:bCs/>
                <w:spacing w:val="-10"/>
                <w:kern w:val="0"/>
                <w:sz w:val="24"/>
              </w:rPr>
            </w:pPr>
          </w:p>
        </w:tc>
        <w:tc>
          <w:tcPr>
            <w:tcW w:w="850" w:type="dxa"/>
            <w:noWrap w:val="0"/>
            <w:vAlign w:val="center"/>
          </w:tcPr>
          <w:p w14:paraId="3BA33C4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18196E6">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2F9BB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60FDD6D">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2A4CEDAE">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0AFCCFD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5EEAFB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54D8A7D">
            <w:pPr>
              <w:widowControl/>
              <w:spacing w:line="0" w:lineRule="atLeast"/>
              <w:jc w:val="center"/>
              <w:rPr>
                <w:rFonts w:ascii="仿宋" w:hAnsi="仿宋" w:eastAsia="仿宋" w:cs="仿宋"/>
                <w:bCs/>
                <w:spacing w:val="-10"/>
                <w:kern w:val="0"/>
                <w:sz w:val="24"/>
              </w:rPr>
            </w:pPr>
          </w:p>
        </w:tc>
        <w:tc>
          <w:tcPr>
            <w:tcW w:w="850" w:type="dxa"/>
            <w:noWrap w:val="0"/>
            <w:vAlign w:val="center"/>
          </w:tcPr>
          <w:p w14:paraId="6BDF38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1FDFE69">
            <w:pPr>
              <w:widowControl/>
              <w:spacing w:line="0" w:lineRule="atLeast"/>
              <w:ind w:firstLine="440" w:firstLineChars="200"/>
              <w:jc w:val="left"/>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5AFE1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664DDC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ZH13043010112</w:t>
            </w:r>
          </w:p>
        </w:tc>
        <w:tc>
          <w:tcPr>
            <w:tcW w:w="790" w:type="dxa"/>
            <w:vMerge w:val="restart"/>
            <w:noWrap w:val="0"/>
            <w:vAlign w:val="center"/>
          </w:tcPr>
          <w:p w14:paraId="0D4436D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邱县</w:t>
            </w:r>
          </w:p>
        </w:tc>
        <w:tc>
          <w:tcPr>
            <w:tcW w:w="911" w:type="dxa"/>
            <w:vMerge w:val="restart"/>
            <w:noWrap w:val="0"/>
            <w:vAlign w:val="center"/>
          </w:tcPr>
          <w:p w14:paraId="3BB1C5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古城营镇</w:t>
            </w:r>
          </w:p>
        </w:tc>
        <w:tc>
          <w:tcPr>
            <w:tcW w:w="709" w:type="dxa"/>
            <w:vMerge w:val="restart"/>
            <w:noWrap w:val="0"/>
            <w:vAlign w:val="center"/>
          </w:tcPr>
          <w:p w14:paraId="383FD9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0C7F53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引黄入冀补淀</w:t>
            </w:r>
          </w:p>
        </w:tc>
        <w:tc>
          <w:tcPr>
            <w:tcW w:w="850" w:type="dxa"/>
            <w:noWrap w:val="0"/>
            <w:vAlign w:val="center"/>
          </w:tcPr>
          <w:p w14:paraId="182A167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BA9994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1.按照总体准入的生态空间总体管控要求中河湖滨岸带管控要求执行。2.依照《中华人民共和国河道管理条例》管理。</w:t>
            </w:r>
          </w:p>
        </w:tc>
      </w:tr>
      <w:tr w14:paraId="6B2CE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55AB352">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2150AD04">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19C9164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73A43B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1D4B044">
            <w:pPr>
              <w:widowControl/>
              <w:spacing w:line="0" w:lineRule="atLeast"/>
              <w:jc w:val="center"/>
              <w:rPr>
                <w:rFonts w:ascii="仿宋" w:hAnsi="仿宋" w:eastAsia="仿宋" w:cs="仿宋"/>
                <w:bCs/>
                <w:spacing w:val="-10"/>
                <w:kern w:val="0"/>
                <w:sz w:val="24"/>
              </w:rPr>
            </w:pPr>
          </w:p>
        </w:tc>
        <w:tc>
          <w:tcPr>
            <w:tcW w:w="850" w:type="dxa"/>
            <w:noWrap w:val="0"/>
            <w:vAlign w:val="center"/>
          </w:tcPr>
          <w:p w14:paraId="3C01CB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5CCEE0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3FEFA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F12811A">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5E3E35C8">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60F9FF6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983365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DA9F854">
            <w:pPr>
              <w:widowControl/>
              <w:spacing w:line="0" w:lineRule="atLeast"/>
              <w:jc w:val="center"/>
              <w:rPr>
                <w:rFonts w:ascii="仿宋" w:hAnsi="仿宋" w:eastAsia="仿宋" w:cs="仿宋"/>
                <w:bCs/>
                <w:spacing w:val="-10"/>
                <w:kern w:val="0"/>
                <w:sz w:val="24"/>
              </w:rPr>
            </w:pPr>
          </w:p>
        </w:tc>
        <w:tc>
          <w:tcPr>
            <w:tcW w:w="850" w:type="dxa"/>
            <w:noWrap w:val="0"/>
            <w:vAlign w:val="center"/>
          </w:tcPr>
          <w:p w14:paraId="2A69BF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89BCAC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783E0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962BC55">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25156146">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7D48E33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46C4E2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44A4FAE">
            <w:pPr>
              <w:widowControl/>
              <w:spacing w:line="0" w:lineRule="atLeast"/>
              <w:jc w:val="center"/>
              <w:rPr>
                <w:rFonts w:ascii="仿宋" w:hAnsi="仿宋" w:eastAsia="仿宋" w:cs="仿宋"/>
                <w:bCs/>
                <w:spacing w:val="-10"/>
                <w:kern w:val="0"/>
                <w:sz w:val="24"/>
              </w:rPr>
            </w:pPr>
          </w:p>
        </w:tc>
        <w:tc>
          <w:tcPr>
            <w:tcW w:w="850" w:type="dxa"/>
            <w:noWrap w:val="0"/>
            <w:vAlign w:val="center"/>
          </w:tcPr>
          <w:p w14:paraId="255E5B4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054E1C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A526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09791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ZH13043020113</w:t>
            </w:r>
          </w:p>
        </w:tc>
        <w:tc>
          <w:tcPr>
            <w:tcW w:w="790" w:type="dxa"/>
            <w:vMerge w:val="restart"/>
            <w:noWrap w:val="0"/>
            <w:vAlign w:val="center"/>
          </w:tcPr>
          <w:p w14:paraId="6BD1763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邱县</w:t>
            </w:r>
          </w:p>
        </w:tc>
        <w:tc>
          <w:tcPr>
            <w:tcW w:w="911" w:type="dxa"/>
            <w:vMerge w:val="restart"/>
            <w:noWrap w:val="0"/>
            <w:vAlign w:val="center"/>
          </w:tcPr>
          <w:p w14:paraId="7BD9285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古城营镇、梁二庄镇、南辛店乡、新马头镇</w:t>
            </w:r>
          </w:p>
        </w:tc>
        <w:tc>
          <w:tcPr>
            <w:tcW w:w="709" w:type="dxa"/>
            <w:vMerge w:val="restart"/>
            <w:noWrap w:val="0"/>
            <w:vAlign w:val="center"/>
          </w:tcPr>
          <w:p w14:paraId="66FB79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重要管控单元</w:t>
            </w:r>
          </w:p>
        </w:tc>
        <w:tc>
          <w:tcPr>
            <w:tcW w:w="851" w:type="dxa"/>
            <w:vMerge w:val="restart"/>
            <w:noWrap w:val="0"/>
            <w:vAlign w:val="center"/>
          </w:tcPr>
          <w:p w14:paraId="43E1FA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大气环境高排放重点管控区、水环境工业污染重点管控区、邱县经济开发区、地下水开采重点管控区</w:t>
            </w:r>
          </w:p>
        </w:tc>
        <w:tc>
          <w:tcPr>
            <w:tcW w:w="850" w:type="dxa"/>
            <w:noWrap w:val="0"/>
            <w:vAlign w:val="center"/>
          </w:tcPr>
          <w:p w14:paraId="1AF848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C2269C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产业结构调整指导目录(2019年本)》文件中中明确禁止建设的项目、开采地下水的建设项目、不符合开发区产业发展方向或上下游产业发展的项目、污染物排放、新鲜水用水指标劣于规划环评提出的评价指标的建设项目、不能满足落实颗粒物和氮氧化物2倍总量替代削减的建设项目禁止入区。2.严格地下水管理，地下水禁采区和地下水限采区内按照《河北省人民政府关于公布地下水超采区和禁止开采区、限制开采区范围的通知》（冀政字〔2022〕59号）要求执行。</w:t>
            </w:r>
          </w:p>
        </w:tc>
      </w:tr>
      <w:tr w14:paraId="5F50C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D882A0D">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2E1F0ED1">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3E14EE6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6EFF91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DA5B8BF">
            <w:pPr>
              <w:widowControl/>
              <w:spacing w:line="0" w:lineRule="atLeast"/>
              <w:jc w:val="center"/>
              <w:rPr>
                <w:rFonts w:ascii="仿宋" w:hAnsi="仿宋" w:eastAsia="仿宋" w:cs="仿宋"/>
                <w:bCs/>
                <w:spacing w:val="-10"/>
                <w:kern w:val="0"/>
                <w:sz w:val="24"/>
              </w:rPr>
            </w:pPr>
          </w:p>
        </w:tc>
        <w:tc>
          <w:tcPr>
            <w:tcW w:w="850" w:type="dxa"/>
            <w:noWrap w:val="0"/>
            <w:vAlign w:val="center"/>
          </w:tcPr>
          <w:p w14:paraId="5D529FC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07B964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 开发区工业企业污染物排放满足《工业企业挥发性有机物排放控制标准》（DB13/2322-2016）、《挥发性有机物无组织排放控制标准》（GB37822-2019）、《锅炉大气污染物排放标准》（DB13/5161-2020）、《工业炉窑大气污染物排放标准》（DB13/1640-2012）相应排放限值要求，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的通知》(冀环大气〔2019〕607号)及“退后十”方案中邯郸限值要求。2.新（改、扩）建排污单位执行《黑龙港及运东流域水污染物排放标准》（DB13/2797-2018)相应排放限值。</w:t>
            </w:r>
          </w:p>
        </w:tc>
      </w:tr>
      <w:tr w14:paraId="1D65B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3B2D786">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451AAF3A">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2E29108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78D107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E319687">
            <w:pPr>
              <w:widowControl/>
              <w:spacing w:line="0" w:lineRule="atLeast"/>
              <w:jc w:val="center"/>
              <w:rPr>
                <w:rFonts w:ascii="仿宋" w:hAnsi="仿宋" w:eastAsia="仿宋" w:cs="仿宋"/>
                <w:bCs/>
                <w:spacing w:val="-10"/>
                <w:kern w:val="0"/>
                <w:sz w:val="24"/>
              </w:rPr>
            </w:pPr>
          </w:p>
        </w:tc>
        <w:tc>
          <w:tcPr>
            <w:tcW w:w="850" w:type="dxa"/>
            <w:noWrap w:val="0"/>
            <w:vAlign w:val="center"/>
          </w:tcPr>
          <w:p w14:paraId="451917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9C4B1D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szCs w:val="24"/>
              </w:rPr>
              <w:t>1.</w:t>
            </w:r>
            <w:r>
              <w:rPr>
                <w:rFonts w:hint="eastAsia" w:ascii="仿宋" w:hAnsi="仿宋" w:eastAsia="仿宋" w:cs="仿宋"/>
                <w:color w:val="auto"/>
                <w:spacing w:val="-10"/>
                <w:kern w:val="2"/>
                <w:sz w:val="24"/>
                <w:szCs w:val="24"/>
                <w:lang w:eastAsia="zh-CN"/>
              </w:rPr>
              <w:t>定期对土壤污染重点监管单位和地下水污染防治重点排污单位名录周边土壤、地下水开展监督性监测</w:t>
            </w:r>
            <w:r>
              <w:rPr>
                <w:rFonts w:hint="eastAsia"/>
                <w:lang w:eastAsia="zh-CN"/>
              </w:rPr>
              <w:t>。</w:t>
            </w:r>
            <w:r>
              <w:rPr>
                <w:rFonts w:hint="eastAsia" w:ascii="仿宋" w:hAnsi="仿宋" w:eastAsia="仿宋" w:cs="仿宋"/>
                <w:bCs/>
                <w:spacing w:val="-10"/>
                <w:kern w:val="0"/>
                <w:sz w:val="24"/>
              </w:rPr>
              <w:t>2.涉及乙炔气体、酒厂、天然气储存、甲醇储存使用企业应确实做好风险管控、应急预案工作，尤其靠近敏感点企业。3.要求酒厂、天然气站应加强风险管控，实施应急预案、安全影响评价等工作，避免突发事故影响周边村庄及企业。</w:t>
            </w:r>
          </w:p>
        </w:tc>
      </w:tr>
      <w:tr w14:paraId="54610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38EEC8E">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180BBC7D">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364D83B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690E6C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4A1E1BA">
            <w:pPr>
              <w:widowControl/>
              <w:spacing w:line="0" w:lineRule="atLeast"/>
              <w:jc w:val="center"/>
              <w:rPr>
                <w:rFonts w:ascii="仿宋" w:hAnsi="仿宋" w:eastAsia="仿宋" w:cs="仿宋"/>
                <w:bCs/>
                <w:spacing w:val="-10"/>
                <w:kern w:val="0"/>
                <w:sz w:val="24"/>
              </w:rPr>
            </w:pPr>
          </w:p>
        </w:tc>
        <w:tc>
          <w:tcPr>
            <w:tcW w:w="850" w:type="dxa"/>
            <w:noWrap w:val="0"/>
            <w:vAlign w:val="center"/>
          </w:tcPr>
          <w:p w14:paraId="38C6098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8078C08">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1.单位工业增加值新鲜水耗≤8立方米/万元、单位工业增加值综合能耗≤0.5吨标准煤/万元、工业固体废物(含危险废物)处置利用率100%、再生水回用率≥40%。2.</w:t>
            </w: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38796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0C43CC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ZH13043020114</w:t>
            </w:r>
          </w:p>
        </w:tc>
        <w:tc>
          <w:tcPr>
            <w:tcW w:w="790" w:type="dxa"/>
            <w:vMerge w:val="restart"/>
            <w:noWrap w:val="0"/>
            <w:vAlign w:val="center"/>
          </w:tcPr>
          <w:p w14:paraId="3CF3698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邱县</w:t>
            </w:r>
          </w:p>
        </w:tc>
        <w:tc>
          <w:tcPr>
            <w:tcW w:w="911" w:type="dxa"/>
            <w:vMerge w:val="restart"/>
            <w:noWrap w:val="0"/>
            <w:vAlign w:val="center"/>
          </w:tcPr>
          <w:p w14:paraId="39B9AC0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新马头镇</w:t>
            </w:r>
          </w:p>
        </w:tc>
        <w:tc>
          <w:tcPr>
            <w:tcW w:w="709" w:type="dxa"/>
            <w:vMerge w:val="restart"/>
            <w:noWrap w:val="0"/>
            <w:vAlign w:val="center"/>
          </w:tcPr>
          <w:p w14:paraId="5B47C1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重要管控单元</w:t>
            </w:r>
          </w:p>
        </w:tc>
        <w:tc>
          <w:tcPr>
            <w:tcW w:w="851" w:type="dxa"/>
            <w:vMerge w:val="restart"/>
            <w:noWrap w:val="0"/>
            <w:vAlign w:val="center"/>
          </w:tcPr>
          <w:p w14:paraId="3A7E90E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大气环境受体敏感重点管控区、地下水开采重点管控区</w:t>
            </w:r>
          </w:p>
        </w:tc>
        <w:tc>
          <w:tcPr>
            <w:tcW w:w="850" w:type="dxa"/>
            <w:noWrap w:val="0"/>
            <w:vAlign w:val="center"/>
          </w:tcPr>
          <w:p w14:paraId="6F8B88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B528E3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1.生活垃圾填埋场场址选择满足《生活垃圾卫生填埋处理技术规范》（</w:t>
            </w:r>
            <w:r>
              <w:rPr>
                <w:rFonts w:hint="eastAsia" w:ascii="仿宋" w:hAnsi="仿宋" w:eastAsia="仿宋" w:cs="仿宋"/>
                <w:sz w:val="24"/>
              </w:rPr>
              <w:t>GB 50869-2013</w:t>
            </w:r>
            <w:r>
              <w:rPr>
                <w:rFonts w:hint="eastAsia" w:ascii="仿宋" w:hAnsi="仿宋" w:eastAsia="仿宋" w:cs="仿宋"/>
                <w:bCs/>
                <w:spacing w:val="-10"/>
                <w:kern w:val="0"/>
                <w:sz w:val="24"/>
              </w:rPr>
              <w:t>）相关规定。2.项目建设应考虑对周边敏感区的环境影响。</w:t>
            </w:r>
            <w:r>
              <w:rPr>
                <w:rFonts w:hint="eastAsia" w:ascii="仿宋" w:hAnsi="仿宋" w:eastAsia="仿宋" w:cs="仿宋"/>
                <w:bCs/>
                <w:spacing w:val="-10"/>
                <w:kern w:val="0"/>
                <w:sz w:val="24"/>
                <w:lang w:val="en-US" w:eastAsia="zh-CN"/>
              </w:rPr>
              <w:t>3</w:t>
            </w:r>
            <w:r>
              <w:rPr>
                <w:rFonts w:hint="eastAsia" w:ascii="仿宋" w:hAnsi="仿宋" w:eastAsia="仿宋" w:cs="仿宋"/>
                <w:bCs/>
                <w:spacing w:val="-10"/>
                <w:kern w:val="0"/>
                <w:sz w:val="24"/>
              </w:rPr>
              <w:t>.严格地下水管理，地下水禁采区和地下水限采区内按照《河北省人民政府关于公布地下水超采区和禁止开采区、限制开采区范围的通知》（冀政字〔2022〕59号）要求执行。</w:t>
            </w:r>
          </w:p>
        </w:tc>
      </w:tr>
      <w:tr w14:paraId="1012A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DFF3088">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58D9098A">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1FD9F78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3606DB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0A7EE0C">
            <w:pPr>
              <w:widowControl/>
              <w:spacing w:line="0" w:lineRule="atLeast"/>
              <w:jc w:val="center"/>
              <w:rPr>
                <w:rFonts w:ascii="仿宋" w:hAnsi="仿宋" w:eastAsia="仿宋" w:cs="仿宋"/>
                <w:bCs/>
                <w:spacing w:val="-10"/>
                <w:kern w:val="0"/>
                <w:sz w:val="24"/>
              </w:rPr>
            </w:pPr>
          </w:p>
        </w:tc>
        <w:tc>
          <w:tcPr>
            <w:tcW w:w="850" w:type="dxa"/>
            <w:noWrap w:val="0"/>
            <w:vAlign w:val="center"/>
          </w:tcPr>
          <w:p w14:paraId="37128F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425581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1.淘汰集中供热管网覆盖范围内的散煤。2.垃圾填埋场大气污染物排放满足《生活垃圾填埋场恶臭污染物排放标准》(DB13/2697-2018)相应排放限值要求。</w:t>
            </w:r>
          </w:p>
        </w:tc>
      </w:tr>
      <w:tr w14:paraId="32BF3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FCBAFC3">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1B719119">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07F81DB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FA3909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5417623">
            <w:pPr>
              <w:widowControl/>
              <w:spacing w:line="0" w:lineRule="atLeast"/>
              <w:jc w:val="center"/>
              <w:rPr>
                <w:rFonts w:ascii="仿宋" w:hAnsi="仿宋" w:eastAsia="仿宋" w:cs="仿宋"/>
                <w:bCs/>
                <w:spacing w:val="-10"/>
                <w:kern w:val="0"/>
                <w:sz w:val="24"/>
              </w:rPr>
            </w:pPr>
          </w:p>
        </w:tc>
        <w:tc>
          <w:tcPr>
            <w:tcW w:w="850" w:type="dxa"/>
            <w:noWrap w:val="0"/>
            <w:vAlign w:val="center"/>
          </w:tcPr>
          <w:p w14:paraId="737C07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90BF50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填埋场必须进行防渗处理，应符合现行行业标准《生活垃圾卫生填埋场防渗系统工程技术规范》(CJJ113)的要求。</w:t>
            </w:r>
          </w:p>
        </w:tc>
      </w:tr>
      <w:tr w14:paraId="654EE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7E81646">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3C685C8D">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76070BB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C8ADFD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4A827AE">
            <w:pPr>
              <w:widowControl/>
              <w:spacing w:line="0" w:lineRule="atLeast"/>
              <w:jc w:val="center"/>
              <w:rPr>
                <w:rFonts w:ascii="仿宋" w:hAnsi="仿宋" w:eastAsia="仿宋" w:cs="仿宋"/>
                <w:bCs/>
                <w:spacing w:val="-10"/>
                <w:kern w:val="0"/>
                <w:sz w:val="24"/>
              </w:rPr>
            </w:pPr>
          </w:p>
        </w:tc>
        <w:tc>
          <w:tcPr>
            <w:tcW w:w="850" w:type="dxa"/>
            <w:noWrap w:val="0"/>
            <w:vAlign w:val="center"/>
          </w:tcPr>
          <w:p w14:paraId="22C3FD6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C29856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3A158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2F533F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ZH13043030115</w:t>
            </w:r>
          </w:p>
        </w:tc>
        <w:tc>
          <w:tcPr>
            <w:tcW w:w="790" w:type="dxa"/>
            <w:vMerge w:val="restart"/>
            <w:noWrap w:val="0"/>
            <w:vAlign w:val="center"/>
          </w:tcPr>
          <w:p w14:paraId="51DF9C5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邱县</w:t>
            </w:r>
          </w:p>
        </w:tc>
        <w:tc>
          <w:tcPr>
            <w:tcW w:w="911" w:type="dxa"/>
            <w:vMerge w:val="restart"/>
            <w:noWrap w:val="0"/>
            <w:vAlign w:val="center"/>
          </w:tcPr>
          <w:p w14:paraId="2699DE2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陈村回族乡、古城营镇、梁二庄镇、路桥乡、南辛店乡、邱城镇、香城固镇、新马头镇</w:t>
            </w:r>
          </w:p>
        </w:tc>
        <w:tc>
          <w:tcPr>
            <w:tcW w:w="709" w:type="dxa"/>
            <w:vMerge w:val="restart"/>
            <w:noWrap w:val="0"/>
            <w:vAlign w:val="center"/>
          </w:tcPr>
          <w:p w14:paraId="55F2FBD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5D44AC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02713F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E56B03A">
            <w:pPr>
              <w:widowControl/>
              <w:spacing w:line="0" w:lineRule="atLeast"/>
              <w:ind w:firstLine="440" w:firstLineChars="200"/>
              <w:rPr>
                <w:rFonts w:ascii="仿宋" w:hAnsi="仿宋" w:eastAsia="仿宋" w:cs="仿宋"/>
                <w:spacing w:val="-1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省级及以上工业园区以外禁止新建和扩建涂料、油墨、颜料及类似产品制造(等量置换除外)；禁止建设生产和使用高VOCs含量的溶剂型涂料、油墨、胶粘剂等项目。3.严格地下水管理，地下水禁采区和地下水限采区内按照《河北省人民政府关于公布地下水超采区和禁止开采区、限制开采区范围的通知》（冀政字〔2022〕59号）要求执行。</w:t>
            </w:r>
          </w:p>
        </w:tc>
      </w:tr>
      <w:tr w14:paraId="2C5A8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0D28BD9">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33422035">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507A99C2">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0174CFC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4E1B0D0">
            <w:pPr>
              <w:widowControl/>
              <w:spacing w:line="0" w:lineRule="atLeast"/>
              <w:jc w:val="center"/>
              <w:rPr>
                <w:rFonts w:ascii="仿宋" w:hAnsi="仿宋" w:eastAsia="仿宋" w:cs="仿宋"/>
                <w:bCs/>
                <w:spacing w:val="-10"/>
                <w:kern w:val="0"/>
                <w:sz w:val="24"/>
              </w:rPr>
            </w:pPr>
          </w:p>
        </w:tc>
        <w:tc>
          <w:tcPr>
            <w:tcW w:w="850" w:type="dxa"/>
            <w:noWrap w:val="0"/>
            <w:vAlign w:val="center"/>
          </w:tcPr>
          <w:p w14:paraId="39AB05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F9ADDE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全面加强原辅材料源头替代，从源头减少VOCs产生。涉VOCs重点企业全面执行《挥发性有机物无组织排放控制标准》(GB37822-2019)。选择适宜的废气治理工艺，对VOCs污染源进行有效处理。</w:t>
            </w:r>
          </w:p>
        </w:tc>
      </w:tr>
      <w:tr w14:paraId="6A48D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FB5A66C">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771BC6BE">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11F59833">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A27DC8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6CF1135">
            <w:pPr>
              <w:widowControl/>
              <w:spacing w:line="0" w:lineRule="atLeast"/>
              <w:jc w:val="center"/>
              <w:rPr>
                <w:rFonts w:ascii="仿宋" w:hAnsi="仿宋" w:eastAsia="仿宋" w:cs="仿宋"/>
                <w:bCs/>
                <w:spacing w:val="-10"/>
                <w:kern w:val="0"/>
                <w:sz w:val="24"/>
              </w:rPr>
            </w:pPr>
          </w:p>
        </w:tc>
        <w:tc>
          <w:tcPr>
            <w:tcW w:w="850" w:type="dxa"/>
            <w:noWrap w:val="0"/>
            <w:vAlign w:val="center"/>
          </w:tcPr>
          <w:p w14:paraId="7B888B3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714C66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6F113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9DA6100">
            <w:pPr>
              <w:widowControl/>
              <w:spacing w:line="0" w:lineRule="atLeast"/>
              <w:jc w:val="center"/>
              <w:rPr>
                <w:rFonts w:ascii="仿宋" w:hAnsi="仿宋" w:eastAsia="仿宋" w:cs="仿宋"/>
                <w:bCs/>
                <w:spacing w:val="-10"/>
                <w:kern w:val="0"/>
                <w:sz w:val="24"/>
              </w:rPr>
            </w:pPr>
          </w:p>
        </w:tc>
        <w:tc>
          <w:tcPr>
            <w:tcW w:w="790" w:type="dxa"/>
            <w:vMerge w:val="continue"/>
            <w:noWrap w:val="0"/>
            <w:vAlign w:val="center"/>
          </w:tcPr>
          <w:p w14:paraId="199E652E">
            <w:pPr>
              <w:widowControl/>
              <w:spacing w:line="0" w:lineRule="atLeast"/>
              <w:jc w:val="center"/>
              <w:rPr>
                <w:rFonts w:ascii="仿宋" w:hAnsi="仿宋" w:eastAsia="仿宋" w:cs="仿宋"/>
                <w:bCs/>
                <w:spacing w:val="-10"/>
                <w:kern w:val="0"/>
                <w:sz w:val="24"/>
              </w:rPr>
            </w:pPr>
          </w:p>
        </w:tc>
        <w:tc>
          <w:tcPr>
            <w:tcW w:w="911" w:type="dxa"/>
            <w:vMerge w:val="continue"/>
            <w:noWrap w:val="0"/>
            <w:vAlign w:val="center"/>
          </w:tcPr>
          <w:p w14:paraId="7745D1A4">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68489FB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1AE15CC">
            <w:pPr>
              <w:widowControl/>
              <w:spacing w:line="0" w:lineRule="atLeast"/>
              <w:jc w:val="center"/>
              <w:rPr>
                <w:rFonts w:ascii="仿宋" w:hAnsi="仿宋" w:eastAsia="仿宋" w:cs="仿宋"/>
                <w:bCs/>
                <w:spacing w:val="-10"/>
                <w:kern w:val="0"/>
                <w:sz w:val="24"/>
              </w:rPr>
            </w:pPr>
          </w:p>
        </w:tc>
        <w:tc>
          <w:tcPr>
            <w:tcW w:w="850" w:type="dxa"/>
            <w:noWrap w:val="0"/>
            <w:vAlign w:val="center"/>
          </w:tcPr>
          <w:p w14:paraId="4B184F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2A3E02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bl>
    <w:p w14:paraId="072FE2D5">
      <w:pPr>
        <w:pStyle w:val="10"/>
        <w:numPr>
          <w:ilvl w:val="1"/>
          <w:numId w:val="0"/>
        </w:numPr>
        <w:spacing w:before="240"/>
        <w:jc w:val="left"/>
        <w:rPr>
          <w:rFonts w:ascii="仿宋" w:hAnsi="仿宋" w:eastAsia="仿宋" w:cs="仿宋"/>
          <w:b/>
          <w:sz w:val="28"/>
          <w:szCs w:val="18"/>
        </w:rPr>
      </w:pPr>
    </w:p>
    <w:p w14:paraId="005B0696">
      <w:pPr>
        <w:numPr>
          <w:ilvl w:val="1"/>
          <w:numId w:val="0"/>
        </w:numPr>
        <w:spacing w:beforeLines="50"/>
        <w:outlineLvl w:val="1"/>
        <w:rPr>
          <w:rFonts w:ascii="仿宋" w:hAnsi="仿宋" w:eastAsia="仿宋" w:cs="仿宋"/>
        </w:rPr>
      </w:pPr>
      <w:r>
        <w:rPr>
          <w:rFonts w:hint="eastAsia" w:ascii="仿宋" w:hAnsi="仿宋" w:eastAsia="仿宋" w:cs="仿宋"/>
          <w:bCs/>
          <w:sz w:val="32"/>
          <w:szCs w:val="32"/>
        </w:rPr>
        <w:br w:type="page"/>
      </w:r>
      <w:r>
        <w:rPr>
          <w:rFonts w:hint="eastAsia" w:ascii="仿宋" w:hAnsi="仿宋" w:eastAsia="仿宋" w:cs="仿宋"/>
          <w:bCs/>
          <w:sz w:val="32"/>
          <w:szCs w:val="32"/>
        </w:rPr>
        <w:t>（十三）鸡泽县生态环境准入清单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0"/>
        <w:gridCol w:w="4195"/>
      </w:tblGrid>
      <w:tr w14:paraId="4A470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101440C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03180E4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02CF14E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3D1FBE8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2E31D07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66F3F92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572D9F2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10A87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D0BF3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ZH13043110116</w:t>
            </w:r>
          </w:p>
        </w:tc>
        <w:tc>
          <w:tcPr>
            <w:tcW w:w="567" w:type="dxa"/>
            <w:vMerge w:val="restart"/>
            <w:noWrap w:val="0"/>
            <w:vAlign w:val="center"/>
          </w:tcPr>
          <w:p w14:paraId="51DD93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51EC53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鸡泽镇、双塔镇、浮图店乡、吴官营乡、曹庄镇</w:t>
            </w:r>
          </w:p>
        </w:tc>
        <w:tc>
          <w:tcPr>
            <w:tcW w:w="709" w:type="dxa"/>
            <w:vMerge w:val="restart"/>
            <w:noWrap w:val="0"/>
            <w:vAlign w:val="center"/>
          </w:tcPr>
          <w:p w14:paraId="6AFAEC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515D825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4682657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66771A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63757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9D6D0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FDC4D6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A9A593F">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11B548B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1909B43">
            <w:pPr>
              <w:widowControl/>
              <w:spacing w:line="0" w:lineRule="atLeast"/>
              <w:jc w:val="center"/>
              <w:rPr>
                <w:rFonts w:ascii="仿宋" w:hAnsi="仿宋" w:eastAsia="仿宋" w:cs="仿宋"/>
                <w:bCs/>
                <w:spacing w:val="-10"/>
                <w:kern w:val="0"/>
                <w:sz w:val="24"/>
              </w:rPr>
            </w:pPr>
          </w:p>
        </w:tc>
        <w:tc>
          <w:tcPr>
            <w:tcW w:w="850" w:type="dxa"/>
            <w:noWrap w:val="0"/>
            <w:vAlign w:val="center"/>
          </w:tcPr>
          <w:p w14:paraId="456967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511FAA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1EC39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9DBC73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A68F84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AA3AB5B">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3E72EDB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FAD99FD">
            <w:pPr>
              <w:widowControl/>
              <w:spacing w:line="0" w:lineRule="atLeast"/>
              <w:jc w:val="center"/>
              <w:rPr>
                <w:rFonts w:ascii="仿宋" w:hAnsi="仿宋" w:eastAsia="仿宋" w:cs="仿宋"/>
                <w:bCs/>
                <w:spacing w:val="-10"/>
                <w:kern w:val="0"/>
                <w:sz w:val="24"/>
              </w:rPr>
            </w:pPr>
          </w:p>
        </w:tc>
        <w:tc>
          <w:tcPr>
            <w:tcW w:w="850" w:type="dxa"/>
            <w:noWrap w:val="0"/>
            <w:vAlign w:val="center"/>
          </w:tcPr>
          <w:p w14:paraId="55D8E24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C7CBE1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4E6FB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CB07AE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75612A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C839A63">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4E9608D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C0A3DA1">
            <w:pPr>
              <w:widowControl/>
              <w:spacing w:line="0" w:lineRule="atLeast"/>
              <w:jc w:val="center"/>
              <w:rPr>
                <w:rFonts w:ascii="仿宋" w:hAnsi="仿宋" w:eastAsia="仿宋" w:cs="仿宋"/>
                <w:bCs/>
                <w:spacing w:val="-10"/>
                <w:kern w:val="0"/>
                <w:sz w:val="24"/>
              </w:rPr>
            </w:pPr>
          </w:p>
        </w:tc>
        <w:tc>
          <w:tcPr>
            <w:tcW w:w="850" w:type="dxa"/>
            <w:noWrap w:val="0"/>
            <w:vAlign w:val="center"/>
          </w:tcPr>
          <w:p w14:paraId="47FDF3C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1C56F5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07FB0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93CDD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ZH13043120117</w:t>
            </w:r>
          </w:p>
        </w:tc>
        <w:tc>
          <w:tcPr>
            <w:tcW w:w="567" w:type="dxa"/>
            <w:vMerge w:val="restart"/>
            <w:noWrap w:val="0"/>
            <w:vAlign w:val="center"/>
          </w:tcPr>
          <w:p w14:paraId="5ACAAF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725CDD7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鸡泽镇、吴官营乡</w:t>
            </w:r>
          </w:p>
        </w:tc>
        <w:tc>
          <w:tcPr>
            <w:tcW w:w="709" w:type="dxa"/>
            <w:vMerge w:val="restart"/>
            <w:noWrap w:val="0"/>
            <w:vAlign w:val="center"/>
          </w:tcPr>
          <w:p w14:paraId="0C0D8F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46FE4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大气环境高排放重点管控区、水环境工业污染重点管控区、河北鸡泽经济开发区-新兴产业园区、地下水开采重点管控区</w:t>
            </w:r>
          </w:p>
        </w:tc>
        <w:tc>
          <w:tcPr>
            <w:tcW w:w="850" w:type="dxa"/>
            <w:noWrap w:val="0"/>
            <w:vAlign w:val="center"/>
          </w:tcPr>
          <w:p w14:paraId="137490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12665C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落后的生产工艺或生产设备，不符合国家相关产业政策、达不到规模经济的项目，不支持入园。2.严格地下水管理，地下水禁采区和地下水限采区内按照《河北省人民政府关于公布地下水超采区和禁止开采区、限制开采区范围的通知》（冀政字〔2022〕59号）要求执行。</w:t>
            </w:r>
          </w:p>
        </w:tc>
      </w:tr>
      <w:tr w14:paraId="15A0B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372A0C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E44AD7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0F2B53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076348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CB0AC5B">
            <w:pPr>
              <w:widowControl/>
              <w:spacing w:line="0" w:lineRule="atLeast"/>
              <w:jc w:val="center"/>
              <w:rPr>
                <w:rFonts w:ascii="仿宋" w:hAnsi="仿宋" w:eastAsia="仿宋" w:cs="仿宋"/>
                <w:bCs/>
                <w:spacing w:val="-10"/>
                <w:kern w:val="0"/>
                <w:sz w:val="24"/>
              </w:rPr>
            </w:pPr>
          </w:p>
        </w:tc>
        <w:tc>
          <w:tcPr>
            <w:tcW w:w="850" w:type="dxa"/>
            <w:noWrap w:val="0"/>
            <w:vAlign w:val="center"/>
          </w:tcPr>
          <w:p w14:paraId="7E5252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435D16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涉VOCs排放工业企业污染物排放满足《工业企业挥发性有机物排放控制标准》（DB13/2322-2016）及《挥发性有机物无组织排放控制标准》（GB37822-2019）相应排放限值要求。2.开发区内锅炉污染物排放满足《锅炉大气污染物排放标准》（DB13/5161-2020）相应排放限值要求。3.开发区内工业炉窑污染物排放满足《工业炉窑大气污染物排放标准》（DB13/1640-2012），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32E00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2F00A2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2B5F18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F7C946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743836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FCCDB68">
            <w:pPr>
              <w:widowControl/>
              <w:spacing w:line="0" w:lineRule="atLeast"/>
              <w:jc w:val="center"/>
              <w:rPr>
                <w:rFonts w:ascii="仿宋" w:hAnsi="仿宋" w:eastAsia="仿宋" w:cs="仿宋"/>
                <w:bCs/>
                <w:spacing w:val="-10"/>
                <w:kern w:val="0"/>
                <w:sz w:val="24"/>
              </w:rPr>
            </w:pPr>
          </w:p>
        </w:tc>
        <w:tc>
          <w:tcPr>
            <w:tcW w:w="850" w:type="dxa"/>
            <w:noWrap w:val="0"/>
            <w:vAlign w:val="center"/>
          </w:tcPr>
          <w:p w14:paraId="450CDA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548B72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建立有效的事故风险防范体系，使开发区建设和环境保护协调发展。2.禁止建设存在重大环境安全隐患的工业项目。</w:t>
            </w:r>
          </w:p>
        </w:tc>
      </w:tr>
      <w:tr w14:paraId="19B4A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91BE29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0BA46C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5FAC67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571222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F5D3BE4">
            <w:pPr>
              <w:widowControl/>
              <w:spacing w:line="0" w:lineRule="atLeast"/>
              <w:jc w:val="center"/>
              <w:rPr>
                <w:rFonts w:ascii="仿宋" w:hAnsi="仿宋" w:eastAsia="仿宋" w:cs="仿宋"/>
                <w:bCs/>
                <w:spacing w:val="-10"/>
                <w:kern w:val="0"/>
                <w:sz w:val="24"/>
              </w:rPr>
            </w:pPr>
          </w:p>
        </w:tc>
        <w:tc>
          <w:tcPr>
            <w:tcW w:w="850" w:type="dxa"/>
            <w:noWrap w:val="0"/>
            <w:vAlign w:val="center"/>
          </w:tcPr>
          <w:p w14:paraId="5AA7BD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333770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减少新鲜水用量，提高中水回用率。2.鼓励锅炉、工业炉窑进行余热利用。3.新建产业园区应按生态工业园区标准进行规划建设。4.耗煤项目要实行煤炭减量替代。5.地下水开发利用应当以浅层地下水为主。深层地下水作为战略储备水源、应急供水水源、无替代水源地区的居民生活水源，应当严格限制开采。</w:t>
            </w:r>
          </w:p>
        </w:tc>
      </w:tr>
      <w:tr w14:paraId="38BFF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AA5BF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ZH13043120118</w:t>
            </w:r>
          </w:p>
        </w:tc>
        <w:tc>
          <w:tcPr>
            <w:tcW w:w="567" w:type="dxa"/>
            <w:vMerge w:val="restart"/>
            <w:noWrap w:val="0"/>
            <w:vAlign w:val="center"/>
          </w:tcPr>
          <w:p w14:paraId="73276A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4FC4A10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曹庄镇</w:t>
            </w:r>
          </w:p>
        </w:tc>
        <w:tc>
          <w:tcPr>
            <w:tcW w:w="709" w:type="dxa"/>
            <w:vMerge w:val="restart"/>
            <w:noWrap w:val="0"/>
            <w:vAlign w:val="center"/>
          </w:tcPr>
          <w:p w14:paraId="20EF3EE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D3409A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大气环境高排放重点管控区、水环境工业污染重点管控区、河北鸡泽经济开发区-青岛保税港区邯郸（鸡泽）功能区、地下水开采重点管控区</w:t>
            </w:r>
          </w:p>
        </w:tc>
        <w:tc>
          <w:tcPr>
            <w:tcW w:w="850" w:type="dxa"/>
            <w:noWrap w:val="0"/>
            <w:vAlign w:val="center"/>
          </w:tcPr>
          <w:p w14:paraId="51256A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AF53DE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进区项目应符合规划产业发展方向及布置。2.不支持《产业结构调整指导目录（2019年本）》中的限制类、淘汰类。3.禁止建设《河北省禁止投资的产业目录》中的项目。4.项目落后的生产工艺或生产设备，不符合国家相关产业政策、达不到规模经济的项目，不支持入园。5.严格地下水管理，地下水禁采区和地下水限采区内按照《河北省人民政府关于公布地下水超采区和禁止开采区、限制开采区范围的通知》（冀政字〔2022〕59号）要求执行。</w:t>
            </w:r>
          </w:p>
        </w:tc>
      </w:tr>
      <w:tr w14:paraId="5826B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15FBA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CF4169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2D331A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B5782D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61185E9">
            <w:pPr>
              <w:widowControl/>
              <w:spacing w:line="0" w:lineRule="atLeast"/>
              <w:jc w:val="center"/>
              <w:rPr>
                <w:rFonts w:ascii="仿宋" w:hAnsi="仿宋" w:eastAsia="仿宋" w:cs="仿宋"/>
                <w:bCs/>
                <w:spacing w:val="-10"/>
                <w:kern w:val="0"/>
                <w:sz w:val="24"/>
              </w:rPr>
            </w:pPr>
          </w:p>
        </w:tc>
        <w:tc>
          <w:tcPr>
            <w:tcW w:w="850" w:type="dxa"/>
            <w:noWrap w:val="0"/>
            <w:vAlign w:val="center"/>
          </w:tcPr>
          <w:p w14:paraId="7594D3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25A641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1.涉 VOCs排放工业企业污染物排放满足《工业企业挥发性有机物排放控制标准》（DB13/2322-2016）及《挥发性有机物无组织排放控制标准》（GB37822-2019）相应排放限值要求。2.开发区内锅炉污染物排放满足《锅炉大气污染物排放标准》（DB13/5161-2020）相应排放限值要求。3.开发区内工业炉窑污染物排放满足《工业炉窑大气污染物排放标准》（DB13/1640-2012），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67859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D69B50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6DAC3F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73CF31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92E131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BB6BD58">
            <w:pPr>
              <w:widowControl/>
              <w:spacing w:line="0" w:lineRule="atLeast"/>
              <w:jc w:val="center"/>
              <w:rPr>
                <w:rFonts w:ascii="仿宋" w:hAnsi="仿宋" w:eastAsia="仿宋" w:cs="仿宋"/>
                <w:bCs/>
                <w:spacing w:val="-10"/>
                <w:kern w:val="0"/>
                <w:sz w:val="24"/>
              </w:rPr>
            </w:pPr>
          </w:p>
        </w:tc>
        <w:tc>
          <w:tcPr>
            <w:tcW w:w="850" w:type="dxa"/>
            <w:noWrap w:val="0"/>
            <w:vAlign w:val="center"/>
          </w:tcPr>
          <w:p w14:paraId="245C0F9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47751B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建立有效的事故风险防范体系，使开发区建设和环境保护协调发展。2.禁止建设存在重大环境安全隐患的工业项目。</w:t>
            </w:r>
          </w:p>
        </w:tc>
      </w:tr>
      <w:tr w14:paraId="1D6EB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0E4155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6E3209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5ED891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1E6F3D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65D588">
            <w:pPr>
              <w:widowControl/>
              <w:spacing w:line="0" w:lineRule="atLeast"/>
              <w:jc w:val="center"/>
              <w:rPr>
                <w:rFonts w:ascii="仿宋" w:hAnsi="仿宋" w:eastAsia="仿宋" w:cs="仿宋"/>
                <w:bCs/>
                <w:spacing w:val="-10"/>
                <w:kern w:val="0"/>
                <w:sz w:val="24"/>
              </w:rPr>
            </w:pPr>
          </w:p>
        </w:tc>
        <w:tc>
          <w:tcPr>
            <w:tcW w:w="850" w:type="dxa"/>
            <w:noWrap w:val="0"/>
            <w:vAlign w:val="center"/>
          </w:tcPr>
          <w:p w14:paraId="265446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54CF1F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减少新鲜水用量，提高中水回用率。2.鼓励锅炉、工业炉窑进行余热利用。3.新建产业园区应按生态工业园区标准进行规划建设。4.耗煤项目要实行煤炭减量替代。5.地下水开发利用应当以浅层地下水为主。深层地下水作为战略储备水源、应急供水水源、无替代水源地区的居民生活水源，应当严格限制开采。</w:t>
            </w:r>
          </w:p>
        </w:tc>
      </w:tr>
      <w:tr w14:paraId="62B4D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DDD98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ZH13043120119</w:t>
            </w:r>
          </w:p>
        </w:tc>
        <w:tc>
          <w:tcPr>
            <w:tcW w:w="567" w:type="dxa"/>
            <w:vMerge w:val="restart"/>
            <w:noWrap w:val="0"/>
            <w:vAlign w:val="center"/>
          </w:tcPr>
          <w:p w14:paraId="6684A1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4CE203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小寨镇</w:t>
            </w:r>
          </w:p>
        </w:tc>
        <w:tc>
          <w:tcPr>
            <w:tcW w:w="709" w:type="dxa"/>
            <w:vMerge w:val="restart"/>
            <w:noWrap w:val="0"/>
            <w:vAlign w:val="center"/>
          </w:tcPr>
          <w:p w14:paraId="292988E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75860F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大气环境高排放重点管控区、水环境工业污染重点管控区、河北鸡泽经济开发区-装备制造与铸造园区、地下水开采重点管控区</w:t>
            </w:r>
          </w:p>
        </w:tc>
        <w:tc>
          <w:tcPr>
            <w:tcW w:w="850" w:type="dxa"/>
            <w:noWrap w:val="0"/>
            <w:vAlign w:val="center"/>
          </w:tcPr>
          <w:p w14:paraId="3E3D771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4C3044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进区项目应符合规划产业发展方向及布置。2.不支持《产业结构调整指导目录（2019年本）》中的限制类、淘汰类。3.禁止建设《河北省禁止投资的产业目录》中的项目。4.项目落后的生产工艺或生产设备，不符合国家相关产业政策、达不到规模经济的项目，不支持入园。5.严格地下水管理，地下水禁采区和地下水限采区内按照《河北省人民政府关于公布地下水超采区和禁止开采区、限制开采区范围的通知》（冀政字〔2022〕59号）要求执行。</w:t>
            </w:r>
          </w:p>
        </w:tc>
      </w:tr>
      <w:tr w14:paraId="5937B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F9CCB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988D13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4DD41C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B18493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11AE529">
            <w:pPr>
              <w:widowControl/>
              <w:spacing w:line="0" w:lineRule="atLeast"/>
              <w:jc w:val="center"/>
              <w:rPr>
                <w:rFonts w:ascii="仿宋" w:hAnsi="仿宋" w:eastAsia="仿宋" w:cs="仿宋"/>
                <w:bCs/>
                <w:spacing w:val="-10"/>
                <w:kern w:val="0"/>
                <w:sz w:val="24"/>
              </w:rPr>
            </w:pPr>
          </w:p>
        </w:tc>
        <w:tc>
          <w:tcPr>
            <w:tcW w:w="850" w:type="dxa"/>
            <w:noWrap w:val="0"/>
            <w:vAlign w:val="center"/>
          </w:tcPr>
          <w:p w14:paraId="3AA601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1854BC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1.涉 VOCs排放工业企业污染物排放满足《工业企业挥发性有机物排放控制标准》（DB13/2322-2016）及《挥发性有机物无组织排放控制标准》（GB37822-2019）相应排放限值要求。2.开发区内锅炉污染物排放满足《锅炉大气污染物排放标准》（DB13/5161-2020）相应排放限值要求。3.开发区内工业炉窑污染物排放满足《工业炉窑大气污染物排放标准》（DB13/1640-2012），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277DD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B25C25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D369D0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AD7CAC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6163BE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2CF55CA">
            <w:pPr>
              <w:widowControl/>
              <w:spacing w:line="0" w:lineRule="atLeast"/>
              <w:jc w:val="center"/>
              <w:rPr>
                <w:rFonts w:ascii="仿宋" w:hAnsi="仿宋" w:eastAsia="仿宋" w:cs="仿宋"/>
                <w:bCs/>
                <w:spacing w:val="-10"/>
                <w:kern w:val="0"/>
                <w:sz w:val="24"/>
              </w:rPr>
            </w:pPr>
          </w:p>
        </w:tc>
        <w:tc>
          <w:tcPr>
            <w:tcW w:w="850" w:type="dxa"/>
            <w:noWrap w:val="0"/>
            <w:vAlign w:val="center"/>
          </w:tcPr>
          <w:p w14:paraId="06AF606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4B48FA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建立有效的事故风险防范体系，使开发区建设和环境保护协调发展。2.禁止建设存在重大环境安全隐患的工业项目。</w:t>
            </w:r>
          </w:p>
        </w:tc>
      </w:tr>
      <w:tr w14:paraId="5BF27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AD3B88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B9D858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5BA3E1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C452B3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38D36D0">
            <w:pPr>
              <w:widowControl/>
              <w:spacing w:line="0" w:lineRule="atLeast"/>
              <w:jc w:val="center"/>
              <w:rPr>
                <w:rFonts w:ascii="仿宋" w:hAnsi="仿宋" w:eastAsia="仿宋" w:cs="仿宋"/>
                <w:bCs/>
                <w:spacing w:val="-10"/>
                <w:kern w:val="0"/>
                <w:sz w:val="24"/>
              </w:rPr>
            </w:pPr>
          </w:p>
        </w:tc>
        <w:tc>
          <w:tcPr>
            <w:tcW w:w="850" w:type="dxa"/>
            <w:noWrap w:val="0"/>
            <w:vAlign w:val="center"/>
          </w:tcPr>
          <w:p w14:paraId="031A72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7D931B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减少新鲜水用量，提高中水回用率。2.鼓励锅炉、工业炉窑进行余热利用。3.新建产业园区应按生态工业园区标准进行规划建设。4.耗煤项目要实行煤炭减量替代。5.地下水开发利用应当以浅层地下水为主。深层地下水作为战略储备水源、应急供水水源、无替代水源地区的居民生活水源，应当严格限制开采。</w:t>
            </w:r>
          </w:p>
        </w:tc>
      </w:tr>
      <w:tr w14:paraId="0E151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526EAA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ZH13043120120</w:t>
            </w:r>
          </w:p>
        </w:tc>
        <w:tc>
          <w:tcPr>
            <w:tcW w:w="567" w:type="dxa"/>
            <w:vMerge w:val="restart"/>
            <w:noWrap w:val="0"/>
            <w:vAlign w:val="center"/>
          </w:tcPr>
          <w:p w14:paraId="325F728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5CD40F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吴官营乡</w:t>
            </w:r>
          </w:p>
        </w:tc>
        <w:tc>
          <w:tcPr>
            <w:tcW w:w="709" w:type="dxa"/>
            <w:vMerge w:val="restart"/>
            <w:noWrap w:val="0"/>
            <w:vAlign w:val="center"/>
          </w:tcPr>
          <w:p w14:paraId="56B69F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EFD4F3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大气环境高排放重点管控区、水环境工业污染重点管控区、河北鸡泽经济开发区-鸡泽站前经济区、地下水开采重点管控区</w:t>
            </w:r>
          </w:p>
        </w:tc>
        <w:tc>
          <w:tcPr>
            <w:tcW w:w="850" w:type="dxa"/>
            <w:noWrap w:val="0"/>
            <w:vAlign w:val="center"/>
          </w:tcPr>
          <w:p w14:paraId="142AEC8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C4BBB7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落后的生产工艺或生产设备，不符合国家相关产业政策、达不到规模经济的项目，不支持入园。2.严格地下水管理，地下水禁采区和地下水限采区内按照《河北省人民政府关于公布地下水超采区和禁止开采区、限制开采区范围的通知》（冀政字〔2022〕59号）要求执行。</w:t>
            </w:r>
          </w:p>
        </w:tc>
      </w:tr>
      <w:tr w14:paraId="2AAF9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8FA1D4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FAF17C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4A1D57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582CA3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9A9F18B">
            <w:pPr>
              <w:widowControl/>
              <w:spacing w:line="0" w:lineRule="atLeast"/>
              <w:jc w:val="center"/>
              <w:rPr>
                <w:rFonts w:ascii="仿宋" w:hAnsi="仿宋" w:eastAsia="仿宋" w:cs="仿宋"/>
                <w:bCs/>
                <w:spacing w:val="-10"/>
                <w:kern w:val="0"/>
                <w:sz w:val="24"/>
              </w:rPr>
            </w:pPr>
          </w:p>
        </w:tc>
        <w:tc>
          <w:tcPr>
            <w:tcW w:w="850" w:type="dxa"/>
            <w:noWrap w:val="0"/>
            <w:vAlign w:val="center"/>
          </w:tcPr>
          <w:p w14:paraId="15A8BAA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362B36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1.涉 VOCs排放工业企业污染物排放满足《工业企业挥发性有机物排放控制标准》（DB13/2322-2016）及《挥发性有机物无组织排放控制标准》（GB37822-2019）相应排放限值要求。2.开发区内锅炉污染物排放满足《锅炉大气污染物排放标准》（DB13/5161-2020）相应排放限值要求。3.开发区内工业炉窑污染物排放满足《工业炉窑大气污染物排放标准》（DB13/1640-2012），并满足《关于印发〈河北省工业炉窑</w:t>
            </w:r>
            <w:r>
              <w:rPr>
                <w:rFonts w:hint="eastAsia" w:ascii="仿宋" w:hAnsi="仿宋" w:eastAsia="仿宋" w:cs="仿宋"/>
                <w:bCs/>
                <w:spacing w:val="-10"/>
                <w:kern w:val="0"/>
                <w:sz w:val="24"/>
                <w:lang w:eastAsia="zh-CN"/>
              </w:rPr>
              <w:t>综合治理实施方案〉</w:t>
            </w:r>
            <w:r>
              <w:rPr>
                <w:rFonts w:hint="eastAsia" w:ascii="仿宋" w:hAnsi="仿宋" w:eastAsia="仿宋" w:cs="仿宋"/>
                <w:bCs/>
                <w:spacing w:val="-10"/>
                <w:kern w:val="0"/>
                <w:sz w:val="24"/>
              </w:rPr>
              <w:t>的通知》(冀环大气〔2019〕607号)及“退后十”方案中邯郸限值要求。</w:t>
            </w:r>
          </w:p>
        </w:tc>
      </w:tr>
      <w:tr w14:paraId="3F0A1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4F607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4B43F2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405271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B17E85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458DA04">
            <w:pPr>
              <w:widowControl/>
              <w:spacing w:line="0" w:lineRule="atLeast"/>
              <w:jc w:val="center"/>
              <w:rPr>
                <w:rFonts w:ascii="仿宋" w:hAnsi="仿宋" w:eastAsia="仿宋" w:cs="仿宋"/>
                <w:bCs/>
                <w:spacing w:val="-10"/>
                <w:kern w:val="0"/>
                <w:sz w:val="24"/>
              </w:rPr>
            </w:pPr>
          </w:p>
        </w:tc>
        <w:tc>
          <w:tcPr>
            <w:tcW w:w="850" w:type="dxa"/>
            <w:noWrap w:val="0"/>
            <w:vAlign w:val="center"/>
          </w:tcPr>
          <w:p w14:paraId="60A24E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CFB901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建立有效的事故风险防范体系，使开发区建设和环境保护协调发展。2.禁止建设存在重大环境安全隐患的工业项目。</w:t>
            </w:r>
          </w:p>
        </w:tc>
      </w:tr>
      <w:tr w14:paraId="5865F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E8CCB8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37CA31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D5A5E6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B5491F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AB06106">
            <w:pPr>
              <w:widowControl/>
              <w:spacing w:line="0" w:lineRule="atLeast"/>
              <w:jc w:val="center"/>
              <w:rPr>
                <w:rFonts w:ascii="仿宋" w:hAnsi="仿宋" w:eastAsia="仿宋" w:cs="仿宋"/>
                <w:bCs/>
                <w:spacing w:val="-10"/>
                <w:kern w:val="0"/>
                <w:sz w:val="24"/>
              </w:rPr>
            </w:pPr>
          </w:p>
        </w:tc>
        <w:tc>
          <w:tcPr>
            <w:tcW w:w="850" w:type="dxa"/>
            <w:noWrap w:val="0"/>
            <w:vAlign w:val="center"/>
          </w:tcPr>
          <w:p w14:paraId="52F900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5F6423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减少新鲜水用量，提高中水回用率。2.鼓励锅炉、工业炉窑进行余热利用。3.新建产业园区应按生态工业园区标准进行规划建设。4.耗煤项目要实行煤炭减量替代。6.地下水开发利用应当以浅层地下水为主。深层地下水作为战略储备水源、应急供水水源、无替代水源地区的居民生活水源，应当严格限制开采。</w:t>
            </w:r>
          </w:p>
        </w:tc>
      </w:tr>
      <w:tr w14:paraId="4A823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FB896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ZH13043120121</w:t>
            </w:r>
          </w:p>
        </w:tc>
        <w:tc>
          <w:tcPr>
            <w:tcW w:w="567" w:type="dxa"/>
            <w:vMerge w:val="restart"/>
            <w:noWrap w:val="0"/>
            <w:vAlign w:val="center"/>
          </w:tcPr>
          <w:p w14:paraId="7C5AD6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7F6541E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风正乡、鸡泽镇</w:t>
            </w:r>
          </w:p>
        </w:tc>
        <w:tc>
          <w:tcPr>
            <w:tcW w:w="709" w:type="dxa"/>
            <w:vMerge w:val="restart"/>
            <w:noWrap w:val="0"/>
            <w:vAlign w:val="center"/>
          </w:tcPr>
          <w:p w14:paraId="79A069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293D5CB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大气环境高排放重点管控区、水环境工业污染重点管控区、河北鸡泽经济开发区-棉纺园区、地下水开采重点管控区</w:t>
            </w:r>
          </w:p>
        </w:tc>
        <w:tc>
          <w:tcPr>
            <w:tcW w:w="850" w:type="dxa"/>
            <w:noWrap w:val="0"/>
            <w:vAlign w:val="center"/>
          </w:tcPr>
          <w:p w14:paraId="23B4719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7DE36F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进区项目应符合规划产业发展方向及布置。2.不支持《产业结构调整指导目录（2019年本）》中的限制类、淘汰类。3.禁止建设《河北省禁止投资的产业目录》中的项目。4.项目落后的生产工艺或生产设备，不符合国家相关产业政策、达不到规模经济的项目，不支持入园。5.严格地下水管理，地下水禁采区和地下水限采区内按照《河北省人民政府关于公布地下水超采区和禁止开采区、限制开采区范围的通知》（冀政字〔2022〕59号）要求执行。</w:t>
            </w:r>
          </w:p>
        </w:tc>
      </w:tr>
      <w:tr w14:paraId="74FBD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25856C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E76E81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488D2D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ECFE37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A015B40">
            <w:pPr>
              <w:widowControl/>
              <w:spacing w:line="0" w:lineRule="atLeast"/>
              <w:jc w:val="center"/>
              <w:rPr>
                <w:rFonts w:ascii="仿宋" w:hAnsi="仿宋" w:eastAsia="仿宋" w:cs="仿宋"/>
                <w:bCs/>
                <w:spacing w:val="-10"/>
                <w:kern w:val="0"/>
                <w:sz w:val="24"/>
              </w:rPr>
            </w:pPr>
          </w:p>
        </w:tc>
        <w:tc>
          <w:tcPr>
            <w:tcW w:w="850" w:type="dxa"/>
            <w:noWrap w:val="0"/>
            <w:vAlign w:val="center"/>
          </w:tcPr>
          <w:p w14:paraId="5276AE5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50E730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1.涉 VOCs排放工业企业污染物排放满足《工业企业挥发性有机物排放控制标准》（DB13/2322-2016）及《挥发性有机物无组织排放控制标准》（GB37822-2019）相应排放限值要求。2.开发区内锅炉污染物排放满足《锅炉大气污染物排放标准》（DB13/5161-2020）相应排放限值要求。3.开发区内工业炉窑污染物排放满足《工业炉窑大气污染物排放标准》（DB13/1640-2012），并满足《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5D78C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F709C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C00E33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1CAF38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349811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C5F6A43">
            <w:pPr>
              <w:widowControl/>
              <w:spacing w:line="0" w:lineRule="atLeast"/>
              <w:jc w:val="center"/>
              <w:rPr>
                <w:rFonts w:ascii="仿宋" w:hAnsi="仿宋" w:eastAsia="仿宋" w:cs="仿宋"/>
                <w:bCs/>
                <w:spacing w:val="-10"/>
                <w:kern w:val="0"/>
                <w:sz w:val="24"/>
              </w:rPr>
            </w:pPr>
          </w:p>
        </w:tc>
        <w:tc>
          <w:tcPr>
            <w:tcW w:w="850" w:type="dxa"/>
            <w:noWrap w:val="0"/>
            <w:vAlign w:val="center"/>
          </w:tcPr>
          <w:p w14:paraId="67E523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A95097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建立有效的事故风险防范体系，使开发区建设和环境保护协调发展。2.禁止建设存在重大环境安全隐患的工业项目。</w:t>
            </w:r>
          </w:p>
        </w:tc>
      </w:tr>
      <w:tr w14:paraId="5A63F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208084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BBD599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54539D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6A4CD8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1722573">
            <w:pPr>
              <w:widowControl/>
              <w:spacing w:line="0" w:lineRule="atLeast"/>
              <w:jc w:val="center"/>
              <w:rPr>
                <w:rFonts w:ascii="仿宋" w:hAnsi="仿宋" w:eastAsia="仿宋" w:cs="仿宋"/>
                <w:bCs/>
                <w:spacing w:val="-10"/>
                <w:kern w:val="0"/>
                <w:sz w:val="24"/>
              </w:rPr>
            </w:pPr>
          </w:p>
        </w:tc>
        <w:tc>
          <w:tcPr>
            <w:tcW w:w="850" w:type="dxa"/>
            <w:noWrap w:val="0"/>
            <w:vAlign w:val="center"/>
          </w:tcPr>
          <w:p w14:paraId="356BB2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B1D25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减少新鲜水用量，提高中水回用率。2.鼓励锅炉、工业炉窑进行余热利用。3.新建产业园区应按生态工业园区标准进行规划建设。4.耗煤项目要实行煤炭减量替代。5.地下水开发利用应当以浅层地下水为主。深层地下水作为战略储备水源、应急供水水源、无替代水源地区的居民生活水源，应当严格限制开采。</w:t>
            </w:r>
          </w:p>
        </w:tc>
      </w:tr>
      <w:tr w14:paraId="0D380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16C67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ZH13043120122</w:t>
            </w:r>
          </w:p>
        </w:tc>
        <w:tc>
          <w:tcPr>
            <w:tcW w:w="567" w:type="dxa"/>
            <w:vMerge w:val="restart"/>
            <w:noWrap w:val="0"/>
            <w:vAlign w:val="center"/>
          </w:tcPr>
          <w:p w14:paraId="5D379D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47C7937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曹庄镇</w:t>
            </w:r>
          </w:p>
        </w:tc>
        <w:tc>
          <w:tcPr>
            <w:tcW w:w="709" w:type="dxa"/>
            <w:vMerge w:val="restart"/>
            <w:noWrap w:val="0"/>
            <w:vAlign w:val="center"/>
          </w:tcPr>
          <w:p w14:paraId="77D2B20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DCE56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大气环境高排放重点管控区、水环境工业污染重点管控区、河北鸡泽经济开发区-油脂新材料产业区、地下水开采重点管控区</w:t>
            </w:r>
          </w:p>
        </w:tc>
        <w:tc>
          <w:tcPr>
            <w:tcW w:w="850" w:type="dxa"/>
            <w:noWrap w:val="0"/>
            <w:vAlign w:val="center"/>
          </w:tcPr>
          <w:p w14:paraId="39609C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8AFC2A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进区项目应符合规划产业发展方向及布置。2.不支持《产业结构调整指导目录（2019年本）》中的限制类、淘汰类。3.禁止建设《河北省禁止投资的产业目录》中的项目。4.项目落后的生产工艺或生产设备，不符合国家相关产业政策、达不到规模经济的项目，不支持入园。5.严格地下水管理，地下水禁采区和地下水限采区内按照《河北省人民政府关于公布地下水超采区和禁止开采区、限制开采区范围的通知》（冀政字〔2022〕59号）要求执行。</w:t>
            </w:r>
          </w:p>
        </w:tc>
      </w:tr>
      <w:tr w14:paraId="6E5EB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5BAE04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1C17B1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1B7A53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5F7A18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8E329EF">
            <w:pPr>
              <w:widowControl/>
              <w:spacing w:line="0" w:lineRule="atLeast"/>
              <w:jc w:val="center"/>
              <w:rPr>
                <w:rFonts w:ascii="仿宋" w:hAnsi="仿宋" w:eastAsia="仿宋" w:cs="仿宋"/>
                <w:bCs/>
                <w:spacing w:val="-10"/>
                <w:kern w:val="0"/>
                <w:sz w:val="24"/>
              </w:rPr>
            </w:pPr>
          </w:p>
        </w:tc>
        <w:tc>
          <w:tcPr>
            <w:tcW w:w="850" w:type="dxa"/>
            <w:noWrap w:val="0"/>
            <w:vAlign w:val="center"/>
          </w:tcPr>
          <w:p w14:paraId="192B0D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F2348D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1.涉 VOCs排放工业企业污染物排放满足《工业企业挥发性有机物排放控制标准》（DB13/2322-2016）及《挥发性有机物无组织排放控制标准》（GB37822-2019）相应排放限值要求。2.开发区内锅炉污染物排放满足《锅炉大气污染物排放标准》（DB13/5161-2020）相应排放限值要求。3.开发区内工业炉窑污染物排放满足《工业炉窑大气污染物排放标准》（DB13/1640-2012），并满足《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3C44A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3DE6E9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A10474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CD2279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76BADF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61DF9E8">
            <w:pPr>
              <w:widowControl/>
              <w:spacing w:line="0" w:lineRule="atLeast"/>
              <w:jc w:val="center"/>
              <w:rPr>
                <w:rFonts w:ascii="仿宋" w:hAnsi="仿宋" w:eastAsia="仿宋" w:cs="仿宋"/>
                <w:bCs/>
                <w:spacing w:val="-10"/>
                <w:kern w:val="0"/>
                <w:sz w:val="24"/>
              </w:rPr>
            </w:pPr>
          </w:p>
        </w:tc>
        <w:tc>
          <w:tcPr>
            <w:tcW w:w="850" w:type="dxa"/>
            <w:noWrap w:val="0"/>
            <w:vAlign w:val="center"/>
          </w:tcPr>
          <w:p w14:paraId="29B8AA0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9E7CA2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及入区企业需组织编制《环境风险应急预案》，成立应急组织机构，定期开展应急演练，提高区域环境风险防范能力。建立有效的事故风险防范体系，使开发区建设和环境保护协调发展。2.禁止建设存在重大环境安全隐患的工业项目。</w:t>
            </w:r>
          </w:p>
        </w:tc>
      </w:tr>
      <w:tr w14:paraId="567E8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B40537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3FA2CA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0AEBBC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8CAF6A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D13EA5B">
            <w:pPr>
              <w:widowControl/>
              <w:spacing w:line="0" w:lineRule="atLeast"/>
              <w:jc w:val="center"/>
              <w:rPr>
                <w:rFonts w:ascii="仿宋" w:hAnsi="仿宋" w:eastAsia="仿宋" w:cs="仿宋"/>
                <w:bCs/>
                <w:spacing w:val="-10"/>
                <w:kern w:val="0"/>
                <w:sz w:val="24"/>
              </w:rPr>
            </w:pPr>
          </w:p>
        </w:tc>
        <w:tc>
          <w:tcPr>
            <w:tcW w:w="850" w:type="dxa"/>
            <w:noWrap w:val="0"/>
            <w:vAlign w:val="center"/>
          </w:tcPr>
          <w:p w14:paraId="47F170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8C1BE2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减少新鲜水用量，提高中水回用率。2.鼓励锅炉、工业炉窑进行余热利用。3.新建产业园区应按生态工业园区标准进行规划建设。4.耗煤项目要实行煤炭减量替代。5.地下水开发利用应当以浅层地下水为主。深层地下水作为战略储备水源、应急供水水源、无替代水源地区的居民生活水源，应当严格限制开采。</w:t>
            </w:r>
          </w:p>
        </w:tc>
      </w:tr>
      <w:tr w14:paraId="19FFF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CB64FD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ZH13043120123</w:t>
            </w:r>
          </w:p>
        </w:tc>
        <w:tc>
          <w:tcPr>
            <w:tcW w:w="567" w:type="dxa"/>
            <w:vMerge w:val="restart"/>
            <w:noWrap w:val="0"/>
            <w:vAlign w:val="center"/>
          </w:tcPr>
          <w:p w14:paraId="12E5BF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5BECE77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曹庄镇、风正乡、浮图店乡、鸡泽镇、双塔镇、吴官营乡、小寨镇</w:t>
            </w:r>
          </w:p>
        </w:tc>
        <w:tc>
          <w:tcPr>
            <w:tcW w:w="709" w:type="dxa"/>
            <w:vMerge w:val="restart"/>
            <w:noWrap w:val="0"/>
            <w:vAlign w:val="center"/>
          </w:tcPr>
          <w:p w14:paraId="0D6F785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DBA6F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大气环境受体敏感重点管控区、地下水开采重点管控区</w:t>
            </w:r>
          </w:p>
        </w:tc>
        <w:tc>
          <w:tcPr>
            <w:tcW w:w="850" w:type="dxa"/>
            <w:noWrap w:val="0"/>
            <w:vAlign w:val="center"/>
          </w:tcPr>
          <w:p w14:paraId="02BE2E0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F605A2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企业的布局及厂址的确定应符合国家相关法律法规、产业政策以及各地方政府装备制造业和铸造行业的总体规划要求。2.铸造企业规模、生产工艺、生产装备、质量控制和能源消耗、环境保护等指标满足《铸造企业规范条件》(T/CFA0310021-2019)中相应要求。4.提高VOCs排放重点行业环保准入门槛，严格控制新增污染物排放量。新建涉VOCs排放的工业企业要入园区。5.省级及以上工业园区以外禁止新建和扩建基础化学原料制造。6.禁止建设生产和使用高VOCs含量的溶剂型涂料、油墨、胶粘剂等项目。7.严格地下水管理，地下水禁采区和地下水限采区内按照《河北省人民政府关于公布地下水超采区和禁止开采区、限制开采区范围的通知》（冀政字〔2022〕59号）要求执行。8.项目建设应考虑对周边敏感区的环境影响。</w:t>
            </w:r>
          </w:p>
        </w:tc>
      </w:tr>
      <w:tr w14:paraId="4A0E3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AC774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7800AE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32774B2">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2192E77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1F7884C">
            <w:pPr>
              <w:widowControl/>
              <w:spacing w:line="0" w:lineRule="atLeast"/>
              <w:jc w:val="center"/>
              <w:rPr>
                <w:rFonts w:ascii="仿宋" w:hAnsi="仿宋" w:eastAsia="仿宋" w:cs="仿宋"/>
                <w:bCs/>
                <w:spacing w:val="-10"/>
                <w:kern w:val="0"/>
                <w:sz w:val="24"/>
              </w:rPr>
            </w:pPr>
          </w:p>
        </w:tc>
        <w:tc>
          <w:tcPr>
            <w:tcW w:w="850" w:type="dxa"/>
            <w:noWrap w:val="0"/>
            <w:vAlign w:val="center"/>
          </w:tcPr>
          <w:p w14:paraId="26FB551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4B8494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确保“散乱污”企业动态清零。2.铸造工业污染物排放满足《铸造工业大气污染物排放标准》(GB39726-2020)及地方标准中相应排放限值要求。3.钢铁、水泥、平板玻璃、陶瓷、焦化、铸造行业企业料堆场按照《煤场、料场、渣场扬尘污染控制技术规范》(DB13/T2352-2016)存储要求，实现规范管理。4.挥发性有机物排放满足《工业企业挥发性有机物排放控制标准》(DB13/2322-2016)和《挥发性有机物无组织排放控制标准》(GB37822-2019)中相应排放限值要求。</w:t>
            </w:r>
          </w:p>
        </w:tc>
      </w:tr>
      <w:tr w14:paraId="22823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110127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40EE40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F7BAC63">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8BE8A5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DB2A5D8">
            <w:pPr>
              <w:widowControl/>
              <w:spacing w:line="0" w:lineRule="atLeast"/>
              <w:jc w:val="center"/>
              <w:rPr>
                <w:rFonts w:ascii="仿宋" w:hAnsi="仿宋" w:eastAsia="仿宋" w:cs="仿宋"/>
                <w:bCs/>
                <w:spacing w:val="-10"/>
                <w:kern w:val="0"/>
                <w:sz w:val="24"/>
              </w:rPr>
            </w:pPr>
          </w:p>
        </w:tc>
        <w:tc>
          <w:tcPr>
            <w:tcW w:w="850" w:type="dxa"/>
            <w:noWrap w:val="0"/>
            <w:vAlign w:val="center"/>
          </w:tcPr>
          <w:p w14:paraId="4E2C60B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E7D6AC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落实重金属相关行业规范条件，禁止新建落后产能项目，严禁产能严重过剩行业新增产能建设项目。禁止向涉重金属相关行业落后产能和产能过剩行业供应土地。2.工艺过程中产生的含VOCs废料(渣、液)满足《挥发性有机物无组织排放控制标准》(GB37822-2019)中的要求。</w:t>
            </w:r>
          </w:p>
        </w:tc>
      </w:tr>
      <w:tr w14:paraId="09108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430754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059D91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ADEA123">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1AE6217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696B225">
            <w:pPr>
              <w:widowControl/>
              <w:spacing w:line="0" w:lineRule="atLeast"/>
              <w:jc w:val="center"/>
              <w:rPr>
                <w:rFonts w:ascii="仿宋" w:hAnsi="仿宋" w:eastAsia="仿宋" w:cs="仿宋"/>
                <w:bCs/>
                <w:spacing w:val="-10"/>
                <w:kern w:val="0"/>
                <w:sz w:val="24"/>
              </w:rPr>
            </w:pPr>
          </w:p>
        </w:tc>
        <w:tc>
          <w:tcPr>
            <w:tcW w:w="850" w:type="dxa"/>
            <w:noWrap w:val="0"/>
            <w:vAlign w:val="center"/>
          </w:tcPr>
          <w:p w14:paraId="59392E9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AA3A66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11CCD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AE534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ZH13043130120</w:t>
            </w:r>
          </w:p>
        </w:tc>
        <w:tc>
          <w:tcPr>
            <w:tcW w:w="567" w:type="dxa"/>
            <w:vMerge w:val="restart"/>
            <w:noWrap w:val="0"/>
            <w:vAlign w:val="center"/>
          </w:tcPr>
          <w:p w14:paraId="5571C83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鸡泽县</w:t>
            </w:r>
          </w:p>
        </w:tc>
        <w:tc>
          <w:tcPr>
            <w:tcW w:w="1134" w:type="dxa"/>
            <w:vMerge w:val="restart"/>
            <w:noWrap w:val="0"/>
            <w:vAlign w:val="center"/>
          </w:tcPr>
          <w:p w14:paraId="7B281A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曹庄镇、风正乡、浮图店乡、鸡泽镇、双塔镇、吴官营乡、小寨镇</w:t>
            </w:r>
          </w:p>
        </w:tc>
        <w:tc>
          <w:tcPr>
            <w:tcW w:w="709" w:type="dxa"/>
            <w:vMerge w:val="restart"/>
            <w:noWrap w:val="0"/>
            <w:vAlign w:val="center"/>
          </w:tcPr>
          <w:p w14:paraId="3D86465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3039977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2AE413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830F67E">
            <w:pPr>
              <w:widowControl/>
              <w:spacing w:line="0" w:lineRule="atLeast"/>
              <w:ind w:firstLine="440" w:firstLineChars="200"/>
              <w:rPr>
                <w:rFonts w:ascii="仿宋" w:hAnsi="仿宋" w:eastAsia="仿宋_GB2312" w:cs="仿宋"/>
                <w:bCs/>
                <w:spacing w:val="-10"/>
                <w:kern w:val="0"/>
                <w:sz w:val="24"/>
              </w:rPr>
            </w:pPr>
            <w:r>
              <w:rPr>
                <w:rFonts w:hint="eastAsia" w:ascii="仿宋_GB2312" w:hAnsi="宋体" w:eastAsia="仿宋_GB2312" w:cs="宋体"/>
                <w:bCs/>
                <w:spacing w:val="-10"/>
                <w:kern w:val="0"/>
                <w:sz w:val="24"/>
              </w:rPr>
              <w:t>1.企业的布局及厂址的确定应符合国家相关法律法规、产业政策以及各地方政府装备制造业和铸造行业的总体规划要求。2.铸造企业规模、生产工艺、生产装备、质量控制和能源消耗、环境保护等指标满足《铸造企业规范条件》(T/CFA0310021-2019)中相应要求。3.提高VOCs排放重点行业环保准入门槛，严格控制新增污染物排放量。新建涉VOCs排放的工业企业要入园区。4.省级及以上工业园区以外禁止新建和扩建基础化学原料制造。5.禁止建设生产和使用高VOCs含量的溶剂型涂料、油墨、胶粘剂等项目。6.严格地下水管理，地下水禁采区和地下水限采区内按照《河北省人民政府关于公布地下水超采区和禁止开采区、限制开采区范围的通知》（冀政字〔2022〕59号）要求执行。</w:t>
            </w:r>
          </w:p>
        </w:tc>
      </w:tr>
      <w:tr w14:paraId="671FF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C03606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100A13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DA4DF77">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5C53E96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44816D0">
            <w:pPr>
              <w:widowControl/>
              <w:spacing w:line="0" w:lineRule="atLeast"/>
              <w:jc w:val="center"/>
              <w:rPr>
                <w:rFonts w:ascii="仿宋" w:hAnsi="仿宋" w:eastAsia="仿宋" w:cs="仿宋"/>
                <w:bCs/>
                <w:spacing w:val="-10"/>
                <w:kern w:val="0"/>
                <w:sz w:val="24"/>
              </w:rPr>
            </w:pPr>
          </w:p>
        </w:tc>
        <w:tc>
          <w:tcPr>
            <w:tcW w:w="850" w:type="dxa"/>
            <w:noWrap w:val="0"/>
            <w:vAlign w:val="center"/>
          </w:tcPr>
          <w:p w14:paraId="306ED3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2BCB98E">
            <w:pPr>
              <w:widowControl/>
              <w:spacing w:line="0" w:lineRule="atLeast"/>
              <w:ind w:firstLine="440" w:firstLineChars="200"/>
              <w:rPr>
                <w:rFonts w:ascii="仿宋" w:hAnsi="仿宋" w:eastAsia="仿宋" w:cs="仿宋"/>
                <w:bCs/>
                <w:spacing w:val="-10"/>
                <w:kern w:val="0"/>
                <w:sz w:val="24"/>
              </w:rPr>
            </w:pPr>
            <w:r>
              <w:rPr>
                <w:rFonts w:hint="eastAsia" w:ascii="仿宋_GB2312" w:hAnsi="宋体" w:eastAsia="仿宋_GB2312" w:cs="宋体"/>
                <w:bCs/>
                <w:spacing w:val="-10"/>
                <w:kern w:val="0"/>
                <w:sz w:val="24"/>
              </w:rPr>
              <w:t>1.确保“散乱污”企业动态清零。2.铸造工业污染物排放满足《铸造工业大气污染物排放标准》(GB39726-2020)及地方标准中相应排放限值要求。3.钢铁、水泥、平板玻璃、陶瓷、焦化、铸造行业企业料堆场按照《煤场、料场、渣场扬尘污染控制技术规范》(DB13/T2352-2016)存储要求，实现规范管理。4.挥发性有机物排放满足《工业企业挥发性有机物排放控制标准》(DB13/2322-2016)和《挥发性有机物无组织排放控制标准》(GB37822-2019)中相应排放限值要求。</w:t>
            </w:r>
          </w:p>
        </w:tc>
      </w:tr>
      <w:tr w14:paraId="75716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D1D295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26F7A5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1DD75D7">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0EECEC6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676050E">
            <w:pPr>
              <w:widowControl/>
              <w:spacing w:line="0" w:lineRule="atLeast"/>
              <w:jc w:val="center"/>
              <w:rPr>
                <w:rFonts w:ascii="仿宋" w:hAnsi="仿宋" w:eastAsia="仿宋" w:cs="仿宋"/>
                <w:bCs/>
                <w:spacing w:val="-10"/>
                <w:kern w:val="0"/>
                <w:sz w:val="24"/>
              </w:rPr>
            </w:pPr>
          </w:p>
        </w:tc>
        <w:tc>
          <w:tcPr>
            <w:tcW w:w="850" w:type="dxa"/>
            <w:noWrap w:val="0"/>
            <w:vAlign w:val="center"/>
          </w:tcPr>
          <w:p w14:paraId="6B7640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C2A9F72">
            <w:pPr>
              <w:widowControl/>
              <w:spacing w:line="0" w:lineRule="atLeast"/>
              <w:ind w:firstLine="440" w:firstLineChars="200"/>
              <w:rPr>
                <w:rFonts w:ascii="仿宋" w:hAnsi="仿宋" w:eastAsia="仿宋" w:cs="仿宋"/>
                <w:bCs/>
                <w:spacing w:val="-10"/>
                <w:kern w:val="0"/>
                <w:sz w:val="24"/>
              </w:rPr>
            </w:pPr>
            <w:r>
              <w:rPr>
                <w:rFonts w:hint="eastAsia" w:ascii="仿宋_GB2312" w:hAnsi="宋体" w:eastAsia="仿宋_GB2312" w:cs="宋体"/>
                <w:bCs/>
                <w:spacing w:val="-10"/>
                <w:kern w:val="0"/>
                <w:sz w:val="24"/>
              </w:rPr>
              <w:t>1.落实重金属相关行业规范条件，禁止新建落后产能项目，严禁产能严重过剩行业新增产能建设项目。禁止向涉重金属相关行业落后产能和产能过剩行业供应土地。2.工艺过程中产生的含VOCs废料(渣、液)满足《挥发性有机物无组织排放控制标准》(GB37822-2019)中的要求。</w:t>
            </w:r>
          </w:p>
        </w:tc>
      </w:tr>
      <w:tr w14:paraId="472CF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27823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FB11DA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9F7DEBE">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229EC63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5A2FE26">
            <w:pPr>
              <w:widowControl/>
              <w:spacing w:line="0" w:lineRule="atLeast"/>
              <w:jc w:val="center"/>
              <w:rPr>
                <w:rFonts w:ascii="仿宋" w:hAnsi="仿宋" w:eastAsia="仿宋" w:cs="仿宋"/>
                <w:bCs/>
                <w:spacing w:val="-10"/>
                <w:kern w:val="0"/>
                <w:sz w:val="24"/>
              </w:rPr>
            </w:pPr>
          </w:p>
        </w:tc>
        <w:tc>
          <w:tcPr>
            <w:tcW w:w="850" w:type="dxa"/>
            <w:noWrap w:val="0"/>
            <w:vAlign w:val="center"/>
          </w:tcPr>
          <w:p w14:paraId="4ED2B3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6C0B9881">
            <w:pPr>
              <w:widowControl/>
              <w:spacing w:line="0" w:lineRule="atLeast"/>
              <w:ind w:firstLine="440" w:firstLineChars="200"/>
              <w:rPr>
                <w:rFonts w:ascii="仿宋" w:hAnsi="仿宋" w:eastAsia="仿宋" w:cs="仿宋"/>
                <w:bCs/>
                <w:spacing w:val="-10"/>
                <w:kern w:val="0"/>
                <w:sz w:val="24"/>
              </w:rPr>
            </w:pPr>
            <w:r>
              <w:rPr>
                <w:rFonts w:hint="eastAsia" w:ascii="仿宋_GB2312" w:hAnsi="宋体" w:eastAsia="仿宋_GB2312" w:cs="宋体"/>
                <w:bCs/>
                <w:spacing w:val="-10"/>
                <w:kern w:val="0"/>
                <w:sz w:val="24"/>
              </w:rPr>
              <w:t>地下水开发利用应当以浅层地下水为主。深层地下水作为战略储备水源、应急供水水源、无替代水源地区的居民生活水源，应当严格限制开采。</w:t>
            </w:r>
          </w:p>
        </w:tc>
      </w:tr>
    </w:tbl>
    <w:p w14:paraId="2E2F814E">
      <w:pPr>
        <w:pStyle w:val="10"/>
        <w:numPr>
          <w:ilvl w:val="1"/>
          <w:numId w:val="0"/>
        </w:numPr>
        <w:spacing w:beforeLines="50"/>
        <w:ind w:firstLine="562" w:firstLineChars="200"/>
        <w:outlineLvl w:val="1"/>
        <w:rPr>
          <w:rFonts w:ascii="仿宋" w:hAnsi="仿宋" w:eastAsia="仿宋" w:cs="仿宋"/>
          <w:b/>
          <w:sz w:val="28"/>
          <w:szCs w:val="18"/>
        </w:rPr>
      </w:pPr>
      <w:r>
        <w:rPr>
          <w:rFonts w:hint="eastAsia" w:ascii="仿宋" w:hAnsi="仿宋" w:eastAsia="仿宋" w:cs="仿宋"/>
          <w:b/>
          <w:sz w:val="28"/>
          <w:szCs w:val="18"/>
        </w:rPr>
        <w:br w:type="page"/>
      </w:r>
      <w:r>
        <w:rPr>
          <w:rFonts w:hint="eastAsia" w:ascii="仿宋" w:hAnsi="仿宋" w:eastAsia="仿宋" w:cs="仿宋"/>
          <w:bCs/>
          <w:sz w:val="32"/>
          <w:szCs w:val="32"/>
        </w:rPr>
        <w:t>（十四）广平县生态环境准入清单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0"/>
        <w:gridCol w:w="4195"/>
      </w:tblGrid>
      <w:tr w14:paraId="70A17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380F676B">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13684E8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4C1EE41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7ABC6AA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6B103AB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0543116D">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42396A9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020FF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93" w:hRule="atLeast"/>
          <w:jc w:val="center"/>
        </w:trPr>
        <w:tc>
          <w:tcPr>
            <w:tcW w:w="595" w:type="dxa"/>
            <w:vMerge w:val="restart"/>
            <w:noWrap w:val="0"/>
            <w:vAlign w:val="center"/>
          </w:tcPr>
          <w:p w14:paraId="770946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ZH13043210121</w:t>
            </w:r>
          </w:p>
        </w:tc>
        <w:tc>
          <w:tcPr>
            <w:tcW w:w="567" w:type="dxa"/>
            <w:vMerge w:val="restart"/>
            <w:noWrap w:val="0"/>
            <w:vAlign w:val="center"/>
          </w:tcPr>
          <w:p w14:paraId="0672E3D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广平县</w:t>
            </w:r>
          </w:p>
        </w:tc>
        <w:tc>
          <w:tcPr>
            <w:tcW w:w="1134" w:type="dxa"/>
            <w:vMerge w:val="restart"/>
            <w:noWrap w:val="0"/>
            <w:vAlign w:val="center"/>
          </w:tcPr>
          <w:p w14:paraId="04B60F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广平镇、南阳堡镇、胜营镇、十里铺镇</w:t>
            </w:r>
          </w:p>
        </w:tc>
        <w:tc>
          <w:tcPr>
            <w:tcW w:w="709" w:type="dxa"/>
            <w:vMerge w:val="restart"/>
            <w:noWrap w:val="0"/>
            <w:vAlign w:val="center"/>
          </w:tcPr>
          <w:p w14:paraId="03A4128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优先管控单元</w:t>
            </w:r>
          </w:p>
        </w:tc>
        <w:tc>
          <w:tcPr>
            <w:tcW w:w="851" w:type="dxa"/>
            <w:vMerge w:val="restart"/>
            <w:noWrap w:val="0"/>
            <w:vAlign w:val="center"/>
          </w:tcPr>
          <w:p w14:paraId="075971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34C9ED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4EC1F2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w:t>
            </w:r>
          </w:p>
        </w:tc>
      </w:tr>
      <w:tr w14:paraId="4CB0B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9" w:hRule="atLeast"/>
          <w:jc w:val="center"/>
        </w:trPr>
        <w:tc>
          <w:tcPr>
            <w:tcW w:w="595" w:type="dxa"/>
            <w:vMerge w:val="continue"/>
            <w:noWrap w:val="0"/>
            <w:vAlign w:val="center"/>
          </w:tcPr>
          <w:p w14:paraId="6D8B7D3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242078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FC428A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29D956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FBE0C7C">
            <w:pPr>
              <w:widowControl/>
              <w:spacing w:line="0" w:lineRule="atLeast"/>
              <w:jc w:val="center"/>
              <w:rPr>
                <w:rFonts w:ascii="仿宋" w:hAnsi="仿宋" w:eastAsia="仿宋" w:cs="仿宋"/>
                <w:bCs/>
                <w:spacing w:val="-10"/>
                <w:kern w:val="0"/>
                <w:sz w:val="24"/>
              </w:rPr>
            </w:pPr>
          </w:p>
        </w:tc>
        <w:tc>
          <w:tcPr>
            <w:tcW w:w="850" w:type="dxa"/>
            <w:noWrap w:val="0"/>
            <w:vAlign w:val="center"/>
          </w:tcPr>
          <w:p w14:paraId="15E4C33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8BCAC5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64D5A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9" w:hRule="atLeast"/>
          <w:jc w:val="center"/>
        </w:trPr>
        <w:tc>
          <w:tcPr>
            <w:tcW w:w="595" w:type="dxa"/>
            <w:vMerge w:val="continue"/>
            <w:noWrap w:val="0"/>
            <w:vAlign w:val="center"/>
          </w:tcPr>
          <w:p w14:paraId="08857FB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503B00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0FBD40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E293FE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B728B43">
            <w:pPr>
              <w:widowControl/>
              <w:spacing w:line="0" w:lineRule="atLeast"/>
              <w:jc w:val="center"/>
              <w:rPr>
                <w:rFonts w:ascii="仿宋" w:hAnsi="仿宋" w:eastAsia="仿宋" w:cs="仿宋"/>
                <w:bCs/>
                <w:spacing w:val="-10"/>
                <w:kern w:val="0"/>
                <w:sz w:val="24"/>
              </w:rPr>
            </w:pPr>
          </w:p>
        </w:tc>
        <w:tc>
          <w:tcPr>
            <w:tcW w:w="850" w:type="dxa"/>
            <w:noWrap w:val="0"/>
            <w:vAlign w:val="center"/>
          </w:tcPr>
          <w:p w14:paraId="0CC1A5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DE4F25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13FA5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324DCA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3FD580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9E7472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36FFE7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8166F89">
            <w:pPr>
              <w:widowControl/>
              <w:spacing w:line="0" w:lineRule="atLeast"/>
              <w:jc w:val="center"/>
              <w:rPr>
                <w:rFonts w:ascii="仿宋" w:hAnsi="仿宋" w:eastAsia="仿宋" w:cs="仿宋"/>
                <w:bCs/>
                <w:spacing w:val="-10"/>
                <w:kern w:val="0"/>
                <w:sz w:val="24"/>
              </w:rPr>
            </w:pPr>
          </w:p>
        </w:tc>
        <w:tc>
          <w:tcPr>
            <w:tcW w:w="850" w:type="dxa"/>
            <w:noWrap w:val="0"/>
            <w:vAlign w:val="center"/>
          </w:tcPr>
          <w:p w14:paraId="00FA91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7BE37E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D7E8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3" w:hRule="atLeast"/>
          <w:jc w:val="center"/>
        </w:trPr>
        <w:tc>
          <w:tcPr>
            <w:tcW w:w="595" w:type="dxa"/>
            <w:vMerge w:val="restart"/>
            <w:noWrap w:val="0"/>
            <w:vAlign w:val="center"/>
          </w:tcPr>
          <w:p w14:paraId="18EB43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ZH13043220122</w:t>
            </w:r>
          </w:p>
        </w:tc>
        <w:tc>
          <w:tcPr>
            <w:tcW w:w="567" w:type="dxa"/>
            <w:vMerge w:val="restart"/>
            <w:noWrap w:val="0"/>
            <w:vAlign w:val="center"/>
          </w:tcPr>
          <w:p w14:paraId="596862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广平县</w:t>
            </w:r>
          </w:p>
        </w:tc>
        <w:tc>
          <w:tcPr>
            <w:tcW w:w="1134" w:type="dxa"/>
            <w:vMerge w:val="restart"/>
            <w:noWrap w:val="0"/>
            <w:vAlign w:val="center"/>
          </w:tcPr>
          <w:p w14:paraId="744713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广平镇、南阳堡镇</w:t>
            </w:r>
          </w:p>
        </w:tc>
        <w:tc>
          <w:tcPr>
            <w:tcW w:w="709" w:type="dxa"/>
            <w:vMerge w:val="restart"/>
            <w:noWrap w:val="0"/>
            <w:vAlign w:val="center"/>
          </w:tcPr>
          <w:p w14:paraId="73EB82D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F173BA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大气环境高排放重点管控区、水环境工业污染重点管控区、广平经济开发区绿色食品加工园、地下水开采重点管控区</w:t>
            </w:r>
          </w:p>
        </w:tc>
        <w:tc>
          <w:tcPr>
            <w:tcW w:w="850" w:type="dxa"/>
            <w:noWrap w:val="0"/>
            <w:vAlign w:val="center"/>
          </w:tcPr>
          <w:p w14:paraId="4122D2C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C6477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1.进区项目应符合规划产业发展方向及布置。2.不支持以下项目入园：《产业结构调整指导目录（2019年本）》中的限制类、淘汰类；不能满足落实颗粒物、氮氧化物、SO</w:t>
            </w:r>
            <w:r>
              <w:rPr>
                <w:rFonts w:hint="eastAsia" w:ascii="仿宋" w:hAnsi="仿宋" w:eastAsia="仿宋" w:cs="仿宋"/>
                <w:bCs/>
                <w:spacing w:val="-10"/>
                <w:kern w:val="0"/>
                <w:sz w:val="24"/>
                <w:vertAlign w:val="subscript"/>
              </w:rPr>
              <w:t>2</w:t>
            </w:r>
            <w:r>
              <w:rPr>
                <w:rFonts w:hint="eastAsia" w:ascii="仿宋" w:hAnsi="仿宋" w:eastAsia="仿宋" w:cs="仿宋"/>
                <w:bCs/>
                <w:spacing w:val="-10"/>
                <w:kern w:val="0"/>
                <w:sz w:val="24"/>
              </w:rPr>
              <w:t>、VOCs、氨氮、COD中2倍总量替代削减的建设项目；开采地下水的建设项目。3.东风渠和三干渠及两侧50m范围为开发区内生态空间，禁止进行工业企业建设。4.严格地下水管理，地下水禁采区和地下水限采区内按照《河北省人民政府关于公布地下水超采区和禁止开采区、限制开采区范围的通知》（冀政字〔2022〕59号）要求执行。</w:t>
            </w:r>
          </w:p>
        </w:tc>
      </w:tr>
      <w:tr w14:paraId="44D97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EB6A48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C3857B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D3BC15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50A5B3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905ECE6">
            <w:pPr>
              <w:widowControl/>
              <w:spacing w:line="0" w:lineRule="atLeast"/>
              <w:jc w:val="center"/>
              <w:rPr>
                <w:rFonts w:ascii="仿宋" w:hAnsi="仿宋" w:eastAsia="仿宋" w:cs="仿宋"/>
                <w:bCs/>
                <w:spacing w:val="-10"/>
                <w:kern w:val="0"/>
                <w:sz w:val="24"/>
              </w:rPr>
            </w:pPr>
          </w:p>
        </w:tc>
        <w:tc>
          <w:tcPr>
            <w:tcW w:w="850" w:type="dxa"/>
            <w:noWrap w:val="0"/>
            <w:vAlign w:val="center"/>
          </w:tcPr>
          <w:p w14:paraId="3A33CC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8868FB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恶臭气体排放满足《恶臭污染物排放标准》（GB14554-93）相应排放限值要求。2.挥发性有机物排放满足《工业企业挥发性有机物排放控制标准》(DB13/2322-2016)和《挥发性有机物无组织排放控制标准》(GB37822-2019)中相应排放限值要求。3.白酒行业水污染物排放满足《发酵酒精和白酒工业水污染物排放标准》(GB27631-2011)中相应排放限值要求；其他运行管理要求应按照《饮料酒制造业污染防治技术政策》（公告2018年第7号）执行。</w:t>
            </w:r>
          </w:p>
        </w:tc>
      </w:tr>
      <w:tr w14:paraId="78571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4" w:hRule="atLeast"/>
          <w:jc w:val="center"/>
        </w:trPr>
        <w:tc>
          <w:tcPr>
            <w:tcW w:w="595" w:type="dxa"/>
            <w:vMerge w:val="continue"/>
            <w:noWrap w:val="0"/>
            <w:vAlign w:val="center"/>
          </w:tcPr>
          <w:p w14:paraId="5333FDC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CDF50E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4CC933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925B19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152789C">
            <w:pPr>
              <w:widowControl/>
              <w:spacing w:line="0" w:lineRule="atLeast"/>
              <w:jc w:val="center"/>
              <w:rPr>
                <w:rFonts w:ascii="仿宋" w:hAnsi="仿宋" w:eastAsia="仿宋" w:cs="仿宋"/>
                <w:bCs/>
                <w:spacing w:val="-10"/>
                <w:kern w:val="0"/>
                <w:sz w:val="24"/>
              </w:rPr>
            </w:pPr>
          </w:p>
        </w:tc>
        <w:tc>
          <w:tcPr>
            <w:tcW w:w="850" w:type="dxa"/>
            <w:noWrap w:val="0"/>
            <w:vAlign w:val="center"/>
          </w:tcPr>
          <w:p w14:paraId="572EF4C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E4B20E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仓储物流区不允许存储危险化学品企业入驻。2.禁止新建利用纯氨制冷技术的冷库项目。3.完善开发区和企业大气、水环境、土壤环境、声环境监测体系，制定园区和企业环境应急预案。4.禁止向东风渠、三干渠、三分干渠、东风渠四排支渠排放废水等。5.酒糟、滤渣等堆场应防雨、防渗。6.应对废硅藻土全部收集并妥善处置（填埋等），禁止排入下水道和环境中。7.工艺过程中产生的含VOCs废料(渣、液)满足《挥发性有机物无组织排放控制标准》(GB37822-2019)中的要求。</w:t>
            </w:r>
          </w:p>
        </w:tc>
      </w:tr>
      <w:tr w14:paraId="48325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1" w:hRule="atLeast"/>
          <w:jc w:val="center"/>
        </w:trPr>
        <w:tc>
          <w:tcPr>
            <w:tcW w:w="595" w:type="dxa"/>
            <w:vMerge w:val="continue"/>
            <w:noWrap w:val="0"/>
            <w:vAlign w:val="center"/>
          </w:tcPr>
          <w:p w14:paraId="5301AAD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01562D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D28591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E7CD4F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E6BD24D">
            <w:pPr>
              <w:widowControl/>
              <w:spacing w:line="0" w:lineRule="atLeast"/>
              <w:jc w:val="center"/>
              <w:rPr>
                <w:rFonts w:ascii="仿宋" w:hAnsi="仿宋" w:eastAsia="仿宋" w:cs="仿宋"/>
                <w:bCs/>
                <w:spacing w:val="-10"/>
                <w:kern w:val="0"/>
                <w:sz w:val="24"/>
              </w:rPr>
            </w:pPr>
          </w:p>
        </w:tc>
        <w:tc>
          <w:tcPr>
            <w:tcW w:w="850" w:type="dxa"/>
            <w:noWrap w:val="0"/>
            <w:vAlign w:val="center"/>
          </w:tcPr>
          <w:p w14:paraId="35B8AF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66C781B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土地投资强度≥250万元/亩、再生水回用率≥30%。2.白酒行业用水满足《水利部、工业和信息化部关于印发造纸等七项工业用水定额的通知》(水节约〔2020〕311号)中规定的工业用水定额要求。3.地下水开发利用应当以浅层地下水为主。深层地下水作为战略储备水源、应急供水水源、无替代水源地区的居民生活水源，应当严格限制开采。</w:t>
            </w:r>
          </w:p>
        </w:tc>
      </w:tr>
      <w:tr w14:paraId="47195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9E1A77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ZH13043220123</w:t>
            </w:r>
          </w:p>
        </w:tc>
        <w:tc>
          <w:tcPr>
            <w:tcW w:w="567" w:type="dxa"/>
            <w:vMerge w:val="restart"/>
            <w:noWrap w:val="0"/>
            <w:vAlign w:val="center"/>
          </w:tcPr>
          <w:p w14:paraId="3D4B6F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广平县</w:t>
            </w:r>
          </w:p>
        </w:tc>
        <w:tc>
          <w:tcPr>
            <w:tcW w:w="1134" w:type="dxa"/>
            <w:vMerge w:val="restart"/>
            <w:noWrap w:val="0"/>
            <w:vAlign w:val="center"/>
          </w:tcPr>
          <w:p w14:paraId="75DF93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东张孟镇</w:t>
            </w:r>
          </w:p>
        </w:tc>
        <w:tc>
          <w:tcPr>
            <w:tcW w:w="709" w:type="dxa"/>
            <w:vMerge w:val="restart"/>
            <w:noWrap w:val="0"/>
            <w:vAlign w:val="center"/>
          </w:tcPr>
          <w:p w14:paraId="6319BC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428B02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大气环境高排放重点管控区、水环境工业污染重点管控区、广平经济开发区粮食物流工业区、地下水开采重点管控区</w:t>
            </w:r>
          </w:p>
        </w:tc>
        <w:tc>
          <w:tcPr>
            <w:tcW w:w="850" w:type="dxa"/>
            <w:noWrap w:val="0"/>
            <w:vAlign w:val="center"/>
          </w:tcPr>
          <w:p w14:paraId="56B0E9B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E25B78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不支持以下项目入园：《产业结构调整指导目录（2019年本）》中的限制类、淘汰类；开采地下水的建设项目；新建利用纯氨制冷技术的冷库项目；不符合开发区产业发展方向或上下游产业发展的项目；污染物排放、新鲜水用水指标劣于规划环评中评价指标的建设项目；不能满足落实颗粒物和氮氧化物2倍总量替代削减的建设项目；风险防控措施不满足环境风险管理要求的建设项目。2.严格地下水管理，地下水禁采区和地下水限采区内按照《河北省人民政府关于公布地下水超采区和禁止开采区、限制开采区范围的通知》（冀政字〔2022〕59号）要求执行。</w:t>
            </w:r>
          </w:p>
        </w:tc>
      </w:tr>
      <w:tr w14:paraId="49BA9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860B5B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5F5825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CCA7F6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4EF020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9E9098A">
            <w:pPr>
              <w:widowControl/>
              <w:spacing w:line="0" w:lineRule="atLeast"/>
              <w:jc w:val="center"/>
              <w:rPr>
                <w:rFonts w:ascii="仿宋" w:hAnsi="仿宋" w:eastAsia="仿宋" w:cs="仿宋"/>
                <w:bCs/>
                <w:spacing w:val="-10"/>
                <w:kern w:val="0"/>
                <w:sz w:val="24"/>
              </w:rPr>
            </w:pPr>
          </w:p>
        </w:tc>
        <w:tc>
          <w:tcPr>
            <w:tcW w:w="850" w:type="dxa"/>
            <w:noWrap w:val="0"/>
            <w:vAlign w:val="center"/>
          </w:tcPr>
          <w:p w14:paraId="20EC2E3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090FBC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内锅炉污染物排放满足《锅炉大气污染物排放标准》（DB13/5161-2020）相应排放限值要求。2.涉VOCs排放工业企业污染物排放满足《工业企业挥发性有机物排放控制标准》（DB13/2322-2016）及《挥发性有机物无组织排放控制标准》（GB37822-2019）相应排放限值要求。3.新（改、扩）建排污单位执行《黑龙港及运东流域水污染物排放标准》（DB13/2797-2018)相应排放限值。</w:t>
            </w:r>
          </w:p>
        </w:tc>
      </w:tr>
      <w:tr w14:paraId="5FEFD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1BBC7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318BA0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DAD809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4C6C97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7EF7D7B">
            <w:pPr>
              <w:widowControl/>
              <w:spacing w:line="0" w:lineRule="atLeast"/>
              <w:jc w:val="center"/>
              <w:rPr>
                <w:rFonts w:ascii="仿宋" w:hAnsi="仿宋" w:eastAsia="仿宋" w:cs="仿宋"/>
                <w:bCs/>
                <w:spacing w:val="-10"/>
                <w:kern w:val="0"/>
                <w:sz w:val="24"/>
              </w:rPr>
            </w:pPr>
          </w:p>
        </w:tc>
        <w:tc>
          <w:tcPr>
            <w:tcW w:w="850" w:type="dxa"/>
            <w:noWrap w:val="0"/>
            <w:vAlign w:val="center"/>
          </w:tcPr>
          <w:p w14:paraId="020246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5E88C7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沙东干渠横贯规划园区东西，为防止非正常工况造成地表水体污染，园区企业需加强废水排放和再生水回用防范措施；给出地下水环境风险应急预案。2.园区应加强管理，严格落实规划环评及企业环评提出的风险防范措施，结合园区突发环境事件应急预案，进一步指导园区风险污染防控。</w:t>
            </w:r>
          </w:p>
        </w:tc>
      </w:tr>
      <w:tr w14:paraId="633AB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89DC14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9314D9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F78211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BDE896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25A9542">
            <w:pPr>
              <w:widowControl/>
              <w:spacing w:line="0" w:lineRule="atLeast"/>
              <w:jc w:val="center"/>
              <w:rPr>
                <w:rFonts w:ascii="仿宋" w:hAnsi="仿宋" w:eastAsia="仿宋" w:cs="仿宋"/>
                <w:bCs/>
                <w:spacing w:val="-10"/>
                <w:kern w:val="0"/>
                <w:sz w:val="24"/>
              </w:rPr>
            </w:pPr>
          </w:p>
        </w:tc>
        <w:tc>
          <w:tcPr>
            <w:tcW w:w="850" w:type="dxa"/>
            <w:noWrap w:val="0"/>
            <w:vAlign w:val="center"/>
          </w:tcPr>
          <w:p w14:paraId="657D99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30D8A9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单位工业增加值新鲜水耗≤8立方米/万元，单位工业增加值综合能耗≤0.3吨标准煤/万元，工业固体废物处置利用率100%，再生水回用率100%，土地投资强度≥200万元/亩。2.地下水开发利用应当以浅层地下水为主。深层地下水作为战略储备水源、应急供水水源、无替代水源地区的居民生活水源，应当严格限制开采。</w:t>
            </w:r>
          </w:p>
        </w:tc>
      </w:tr>
      <w:tr w14:paraId="15FBC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0621A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ZH13043220124</w:t>
            </w:r>
          </w:p>
        </w:tc>
        <w:tc>
          <w:tcPr>
            <w:tcW w:w="567" w:type="dxa"/>
            <w:vMerge w:val="restart"/>
            <w:noWrap w:val="0"/>
            <w:vAlign w:val="center"/>
          </w:tcPr>
          <w:p w14:paraId="1A46695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广平县</w:t>
            </w:r>
          </w:p>
        </w:tc>
        <w:tc>
          <w:tcPr>
            <w:tcW w:w="1134" w:type="dxa"/>
            <w:vMerge w:val="restart"/>
            <w:noWrap w:val="0"/>
            <w:vAlign w:val="center"/>
          </w:tcPr>
          <w:p w14:paraId="43ADF4D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东张孟镇</w:t>
            </w:r>
          </w:p>
        </w:tc>
        <w:tc>
          <w:tcPr>
            <w:tcW w:w="709" w:type="dxa"/>
            <w:vMerge w:val="restart"/>
            <w:noWrap w:val="0"/>
            <w:vAlign w:val="center"/>
          </w:tcPr>
          <w:p w14:paraId="38AF71C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2C677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大气环境高排放重点管控区、水环境工业污染重点管控区、广平经济开发区新型化工园区、地下水开采重点管控区</w:t>
            </w:r>
          </w:p>
        </w:tc>
        <w:tc>
          <w:tcPr>
            <w:tcW w:w="850" w:type="dxa"/>
            <w:noWrap w:val="0"/>
            <w:vAlign w:val="center"/>
          </w:tcPr>
          <w:p w14:paraId="6322B4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633E4C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对于能源、资源消耗大，环境污染严重，可能对区域环境、其他产业造成恶劣影响的产业必须严格限制。2.《产业结构调整指导目录（2019年本）》中淘汰类项目禁止入园。3.《关于抑制部分行业产能过剩和重复建设引导产业健康发展的若干意见》中规定的产能过剩行业禁止入园。4.《外商投资产业指导目录》中规定禁止类建设项目禁止入园。5.严格地下水管理，地下水禁采区和地下水限采区内按照《河北省人民政府关于公布地下水超采区和禁止开采区、限制开采区范围的通知》（冀政字〔2022〕59号）要求执行。</w:t>
            </w:r>
          </w:p>
        </w:tc>
      </w:tr>
      <w:tr w14:paraId="5A3DD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F7063B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0D28DA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CFF614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114FC1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1295D3E">
            <w:pPr>
              <w:widowControl/>
              <w:spacing w:line="0" w:lineRule="atLeast"/>
              <w:jc w:val="center"/>
              <w:rPr>
                <w:rFonts w:ascii="仿宋" w:hAnsi="仿宋" w:eastAsia="仿宋" w:cs="仿宋"/>
                <w:bCs/>
                <w:spacing w:val="-10"/>
                <w:kern w:val="0"/>
                <w:sz w:val="24"/>
              </w:rPr>
            </w:pPr>
          </w:p>
        </w:tc>
        <w:tc>
          <w:tcPr>
            <w:tcW w:w="850" w:type="dxa"/>
            <w:noWrap w:val="0"/>
            <w:vAlign w:val="center"/>
          </w:tcPr>
          <w:p w14:paraId="31DD7B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93764C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园企业污染物排放满足各污染物排放标准特别排放限值要求。2.开发区内锅炉污染物排放满足《锅炉大气污染物排放标准》（DB13/5161-2020）相应排放限值要求。3.涉VOCs排放工业企业污染物排放满足《工业企业挥发性有机物排放控制标准》（DB13/2322-2016）及《挥发性有机物无组织排放控制标准》（GB37822-2019）相应排放限值要求。4.现有及新（改、扩）建向环境水体直接排放污水的排污单位满足《黑龙港及运东流域水污染物排放标准》（DB13/2797-2018)相应排放限值要求。</w:t>
            </w:r>
          </w:p>
        </w:tc>
      </w:tr>
      <w:tr w14:paraId="28361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B2182C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5330C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1E7409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06FE4A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304D4EA">
            <w:pPr>
              <w:widowControl/>
              <w:spacing w:line="0" w:lineRule="atLeast"/>
              <w:jc w:val="center"/>
              <w:rPr>
                <w:rFonts w:ascii="仿宋" w:hAnsi="仿宋" w:eastAsia="仿宋" w:cs="仿宋"/>
                <w:bCs/>
                <w:spacing w:val="-10"/>
                <w:kern w:val="0"/>
                <w:sz w:val="24"/>
              </w:rPr>
            </w:pPr>
          </w:p>
        </w:tc>
        <w:tc>
          <w:tcPr>
            <w:tcW w:w="850" w:type="dxa"/>
            <w:noWrap w:val="0"/>
            <w:vAlign w:val="center"/>
          </w:tcPr>
          <w:p w14:paraId="39C6FD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6ED2F7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园区应加强管理，严格落实规划环评及企业环评提出的风险防范措施，结合园区突发环境事件应急预案，进一步指导园区风险污染防控。</w:t>
            </w:r>
          </w:p>
        </w:tc>
      </w:tr>
      <w:tr w14:paraId="2AF89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CF2E00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2896C4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3BD76F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09254B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7A4DCB0">
            <w:pPr>
              <w:widowControl/>
              <w:spacing w:line="0" w:lineRule="atLeast"/>
              <w:jc w:val="center"/>
              <w:rPr>
                <w:rFonts w:ascii="仿宋" w:hAnsi="仿宋" w:eastAsia="仿宋" w:cs="仿宋"/>
                <w:bCs/>
                <w:spacing w:val="-10"/>
                <w:kern w:val="0"/>
                <w:sz w:val="24"/>
              </w:rPr>
            </w:pPr>
          </w:p>
        </w:tc>
        <w:tc>
          <w:tcPr>
            <w:tcW w:w="850" w:type="dxa"/>
            <w:noWrap w:val="0"/>
            <w:vAlign w:val="center"/>
          </w:tcPr>
          <w:p w14:paraId="27CDE7C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B8F0E5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单位工业增加值新鲜水耗≤9立方米/万元，单位工业增加值综合能耗≤0.5吨标准煤/万元，工业固体废物综合利用率100%，再生水回用率≥40%。2.地下水开发利用应当以浅层地下水为主。深层地下水作为战略储备水源、应急供水水源、无替代水源地区的居民生活水源，应当严格限制开采。</w:t>
            </w:r>
          </w:p>
        </w:tc>
      </w:tr>
      <w:tr w14:paraId="3C55F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17868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ZH13043220125</w:t>
            </w:r>
          </w:p>
        </w:tc>
        <w:tc>
          <w:tcPr>
            <w:tcW w:w="567" w:type="dxa"/>
            <w:vMerge w:val="restart"/>
            <w:noWrap w:val="0"/>
            <w:vAlign w:val="center"/>
          </w:tcPr>
          <w:p w14:paraId="1DAD7A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广平县</w:t>
            </w:r>
          </w:p>
        </w:tc>
        <w:tc>
          <w:tcPr>
            <w:tcW w:w="1134" w:type="dxa"/>
            <w:vMerge w:val="restart"/>
            <w:noWrap w:val="0"/>
            <w:vAlign w:val="center"/>
          </w:tcPr>
          <w:p w14:paraId="734CA6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广平镇、胜营镇</w:t>
            </w:r>
          </w:p>
        </w:tc>
        <w:tc>
          <w:tcPr>
            <w:tcW w:w="709" w:type="dxa"/>
            <w:vMerge w:val="restart"/>
            <w:noWrap w:val="0"/>
            <w:vAlign w:val="center"/>
          </w:tcPr>
          <w:p w14:paraId="2197D0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5B8426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大气环境高排放重点管控区、水环境工业污染重点管控区、广平经济开发区新型建材园区、地下水开采重点管控区</w:t>
            </w:r>
          </w:p>
        </w:tc>
        <w:tc>
          <w:tcPr>
            <w:tcW w:w="850" w:type="dxa"/>
            <w:noWrap w:val="0"/>
            <w:vAlign w:val="center"/>
          </w:tcPr>
          <w:p w14:paraId="22EE77C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5D850BD">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1.东风渠两侧100m作为禁止建设区，禁止从事除保护水资源、绿化、河道治理等之外的建设活动；两侧200m作为限制建设区，禁止设置永久性的生产性设施设备。2.</w:t>
            </w:r>
            <w:r>
              <w:rPr>
                <w:rFonts w:hint="eastAsia" w:ascii="仿宋" w:hAnsi="仿宋" w:eastAsia="仿宋" w:cs="仿宋"/>
                <w:spacing w:val="-20"/>
                <w:sz w:val="24"/>
              </w:rPr>
              <w:t>禁止发展下列产业：</w:t>
            </w:r>
            <w:r>
              <w:rPr>
                <w:rFonts w:hint="eastAsia" w:ascii="仿宋" w:hAnsi="仿宋" w:eastAsia="仿宋" w:cs="仿宋"/>
                <w:bCs/>
                <w:spacing w:val="-20"/>
                <w:kern w:val="0"/>
                <w:sz w:val="24"/>
              </w:rPr>
              <w:t>和规划主导产业无关的建设项目、产业政策禁止和限制类项目、清洁生产水平达不到国内先进水平的建设项目、资源能源消耗指标高于广平县行业平均能耗水平的建设项目、开采地下水的建设项目、涉煤的建设项目、列入高耗能、高风险、高污染名录行业的建设项目、污染严重，破坏自然生态损害人体健康又无治理技术或难治理的产业、含有电镀和酸洗工序的建设项目、带有酸性物质浸泡工艺的家具制造项目。3.严格地下水管理，地下水禁采区和地下水限采区内按照《河北省人民政府关于公布地下水超采区和禁止开采区、限制开采区范围的通知》（冀政字〔2022〕59号）要求执行。</w:t>
            </w:r>
          </w:p>
        </w:tc>
      </w:tr>
      <w:tr w14:paraId="39C95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64F3BD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FCF1BC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35B6D1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F087BE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7CC02F5">
            <w:pPr>
              <w:widowControl/>
              <w:spacing w:line="0" w:lineRule="atLeast"/>
              <w:jc w:val="center"/>
              <w:rPr>
                <w:rFonts w:ascii="仿宋" w:hAnsi="仿宋" w:eastAsia="仿宋" w:cs="仿宋"/>
                <w:bCs/>
                <w:spacing w:val="-10"/>
                <w:kern w:val="0"/>
                <w:sz w:val="24"/>
              </w:rPr>
            </w:pPr>
          </w:p>
        </w:tc>
        <w:tc>
          <w:tcPr>
            <w:tcW w:w="850" w:type="dxa"/>
            <w:noWrap w:val="0"/>
            <w:vAlign w:val="center"/>
          </w:tcPr>
          <w:p w14:paraId="60B4B2E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9D01BAB">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入园企业污染物排放满足各污染物排放标准特别排放限值要求。2.开发区内锅炉污染物排放满足《锅炉大气污染物排放标准》（DB13/5161-2020）相应排放限值要求。3.涉VOCs排放工业企业污染物排放满足《工业企业挥发性有机物排放控制标准》（DB13/2322-2016）及《挥发性有机物无组织排放控制标准》（GB37822-2019）相应排放限值要求。</w:t>
            </w:r>
          </w:p>
        </w:tc>
      </w:tr>
      <w:tr w14:paraId="52794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13" w:hRule="atLeast"/>
          <w:jc w:val="center"/>
        </w:trPr>
        <w:tc>
          <w:tcPr>
            <w:tcW w:w="595" w:type="dxa"/>
            <w:vMerge w:val="continue"/>
            <w:noWrap w:val="0"/>
            <w:vAlign w:val="center"/>
          </w:tcPr>
          <w:p w14:paraId="4DB7042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9C4016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C31568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9D424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5997E08">
            <w:pPr>
              <w:widowControl/>
              <w:spacing w:line="0" w:lineRule="atLeast"/>
              <w:jc w:val="center"/>
              <w:rPr>
                <w:rFonts w:ascii="仿宋" w:hAnsi="仿宋" w:eastAsia="仿宋" w:cs="仿宋"/>
                <w:bCs/>
                <w:spacing w:val="-10"/>
                <w:kern w:val="0"/>
                <w:sz w:val="24"/>
              </w:rPr>
            </w:pPr>
          </w:p>
        </w:tc>
        <w:tc>
          <w:tcPr>
            <w:tcW w:w="850" w:type="dxa"/>
            <w:noWrap w:val="0"/>
            <w:vAlign w:val="center"/>
          </w:tcPr>
          <w:p w14:paraId="21923E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14E9E9C">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严格落实环境敏感点及保护目标的防护措施和各项环境风险防范措施，防止因规划实施对环境安全造成影响。严格落实并完善气、水和固体废物等污染防治措施，确保事故下不对外界环境造成影响。2.严格落实事故风险三级防控，确保事故废水不会对东风渠造成影响。</w:t>
            </w:r>
          </w:p>
        </w:tc>
      </w:tr>
      <w:tr w14:paraId="6EA8A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60" w:hRule="atLeast"/>
          <w:jc w:val="center"/>
        </w:trPr>
        <w:tc>
          <w:tcPr>
            <w:tcW w:w="595" w:type="dxa"/>
            <w:vMerge w:val="continue"/>
            <w:noWrap w:val="0"/>
            <w:vAlign w:val="center"/>
          </w:tcPr>
          <w:p w14:paraId="181B8FA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546B29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909FEA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912332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A0325AB">
            <w:pPr>
              <w:widowControl/>
              <w:spacing w:line="0" w:lineRule="atLeast"/>
              <w:jc w:val="center"/>
              <w:rPr>
                <w:rFonts w:ascii="仿宋" w:hAnsi="仿宋" w:eastAsia="仿宋" w:cs="仿宋"/>
                <w:bCs/>
                <w:spacing w:val="-10"/>
                <w:kern w:val="0"/>
                <w:sz w:val="24"/>
              </w:rPr>
            </w:pPr>
          </w:p>
        </w:tc>
        <w:tc>
          <w:tcPr>
            <w:tcW w:w="850" w:type="dxa"/>
            <w:noWrap w:val="0"/>
            <w:vAlign w:val="center"/>
          </w:tcPr>
          <w:p w14:paraId="6925BB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D72980E">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1、规划远期工业污水集中处理率100%，危险废物安全处理处置率100%，生活垃圾无害化处理率100%，工业固体废弃物综合利用率100%，单位工业增加值能耗≤0.38吨标准煤/万元，单位工业增加值新鲜水耗≤4.16立方米/万元。2.地下水开发利用应当以浅层地下水为主。深层地下水作为战略储备水源、应急供水水源、无替代水源地区的居民生活水源，应当严格限制开采。</w:t>
            </w:r>
          </w:p>
        </w:tc>
      </w:tr>
      <w:tr w14:paraId="0009F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7FB2B8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ZH13043220126</w:t>
            </w:r>
          </w:p>
        </w:tc>
        <w:tc>
          <w:tcPr>
            <w:tcW w:w="567" w:type="dxa"/>
            <w:vMerge w:val="restart"/>
            <w:noWrap w:val="0"/>
            <w:vAlign w:val="center"/>
          </w:tcPr>
          <w:p w14:paraId="525388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广平县</w:t>
            </w:r>
          </w:p>
        </w:tc>
        <w:tc>
          <w:tcPr>
            <w:tcW w:w="1134" w:type="dxa"/>
            <w:vMerge w:val="restart"/>
            <w:noWrap w:val="0"/>
            <w:vAlign w:val="center"/>
          </w:tcPr>
          <w:p w14:paraId="4A3F59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广平镇</w:t>
            </w:r>
          </w:p>
        </w:tc>
        <w:tc>
          <w:tcPr>
            <w:tcW w:w="709" w:type="dxa"/>
            <w:vMerge w:val="restart"/>
            <w:noWrap w:val="0"/>
            <w:vAlign w:val="center"/>
          </w:tcPr>
          <w:p w14:paraId="4C3D679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DD065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大气环境受体敏感重点管控区、水环境城镇生活重点管控区、地下水开采重点管控区</w:t>
            </w:r>
          </w:p>
        </w:tc>
        <w:tc>
          <w:tcPr>
            <w:tcW w:w="850" w:type="dxa"/>
            <w:noWrap w:val="0"/>
            <w:vAlign w:val="center"/>
          </w:tcPr>
          <w:p w14:paraId="1019601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3BF587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禁止新上新建染料、染料中间体、有机颜料、印染助剂生产装置(鼓励类及采用鼓励类技术的除外)。3.水系干流沿岸严格控制纺织印染等项目，合理布局生产装置及危险化学品仓储等设施。4.严格地下水管理，地下水禁采区和地下水限采区内按照《河北省人民政府关于公布地下水超采区和禁止开采区、限制开采区范围的通知》（冀政字〔2022〕59号）要求执行。</w:t>
            </w:r>
          </w:p>
        </w:tc>
      </w:tr>
      <w:tr w14:paraId="3CA4D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C10DC8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3978F4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7288EE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35BD85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ADE489C">
            <w:pPr>
              <w:widowControl/>
              <w:spacing w:line="0" w:lineRule="atLeast"/>
              <w:jc w:val="center"/>
              <w:rPr>
                <w:rFonts w:ascii="仿宋" w:hAnsi="仿宋" w:eastAsia="仿宋" w:cs="仿宋"/>
                <w:bCs/>
                <w:spacing w:val="-10"/>
                <w:kern w:val="0"/>
                <w:sz w:val="24"/>
              </w:rPr>
            </w:pPr>
          </w:p>
        </w:tc>
        <w:tc>
          <w:tcPr>
            <w:tcW w:w="850" w:type="dxa"/>
            <w:noWrap w:val="0"/>
            <w:vAlign w:val="center"/>
          </w:tcPr>
          <w:p w14:paraId="79FF26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2B6DE0F">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1.确保“散乱污”企业动态清零。2.工业炉窑污染物排放满足《工业炉窑大气污染物排放标准》（DB13/1640-2012）中的相应排放限值，并满足《关于印发</w:t>
            </w:r>
            <w:r>
              <w:rPr>
                <w:rFonts w:hint="eastAsia" w:ascii="仿宋" w:hAnsi="仿宋" w:eastAsia="仿宋" w:cs="仿宋"/>
                <w:bCs/>
                <w:spacing w:val="-20"/>
                <w:kern w:val="0"/>
                <w:sz w:val="24"/>
                <w:lang w:eastAsia="zh-CN"/>
              </w:rPr>
              <w:t>〈河北省工业炉窑综合治理实施方案〉</w:t>
            </w:r>
            <w:r>
              <w:rPr>
                <w:rFonts w:hint="eastAsia" w:ascii="仿宋" w:hAnsi="仿宋" w:eastAsia="仿宋" w:cs="仿宋"/>
                <w:bCs/>
                <w:spacing w:val="-20"/>
                <w:kern w:val="0"/>
                <w:sz w:val="24"/>
              </w:rPr>
              <w:t>的通知》(冀环大气〔2019〕607号)及“退后十”方案中邯郸限值要求。</w:t>
            </w:r>
          </w:p>
        </w:tc>
      </w:tr>
      <w:tr w14:paraId="09EB3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37D478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59FFB3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0C7AA9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B55B83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3434743">
            <w:pPr>
              <w:widowControl/>
              <w:spacing w:line="0" w:lineRule="atLeast"/>
              <w:jc w:val="center"/>
              <w:rPr>
                <w:rFonts w:ascii="仿宋" w:hAnsi="仿宋" w:eastAsia="仿宋" w:cs="仿宋"/>
                <w:bCs/>
                <w:spacing w:val="-10"/>
                <w:kern w:val="0"/>
                <w:sz w:val="24"/>
              </w:rPr>
            </w:pPr>
          </w:p>
        </w:tc>
        <w:tc>
          <w:tcPr>
            <w:tcW w:w="850" w:type="dxa"/>
            <w:noWrap w:val="0"/>
            <w:vAlign w:val="center"/>
          </w:tcPr>
          <w:p w14:paraId="5D31A30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606EFA4">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编制《环境风险应急预案》，成立应急组织机构，定期开展应急演练，提高区域环境风险防范能力。建立有效的事故风险防范体系。</w:t>
            </w:r>
          </w:p>
        </w:tc>
      </w:tr>
      <w:tr w14:paraId="167BE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651D62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DBB430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8D7935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F5B5C8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3D5E73F">
            <w:pPr>
              <w:widowControl/>
              <w:spacing w:line="0" w:lineRule="atLeast"/>
              <w:jc w:val="center"/>
              <w:rPr>
                <w:rFonts w:ascii="仿宋" w:hAnsi="仿宋" w:eastAsia="仿宋" w:cs="仿宋"/>
                <w:bCs/>
                <w:spacing w:val="-10"/>
                <w:kern w:val="0"/>
                <w:sz w:val="24"/>
              </w:rPr>
            </w:pPr>
          </w:p>
        </w:tc>
        <w:tc>
          <w:tcPr>
            <w:tcW w:w="850" w:type="dxa"/>
            <w:noWrap w:val="0"/>
            <w:vAlign w:val="center"/>
          </w:tcPr>
          <w:p w14:paraId="22928D8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6B2F9D52">
            <w:pPr>
              <w:widowControl/>
              <w:spacing w:line="0" w:lineRule="atLeast"/>
              <w:ind w:firstLine="400" w:firstLineChars="200"/>
              <w:rPr>
                <w:rFonts w:ascii="仿宋" w:hAnsi="仿宋" w:eastAsia="仿宋" w:cs="仿宋"/>
                <w:spacing w:val="-20"/>
                <w:kern w:val="0"/>
                <w:sz w:val="24"/>
              </w:rPr>
            </w:pPr>
            <w:r>
              <w:rPr>
                <w:rFonts w:hint="eastAsia" w:ascii="仿宋" w:hAnsi="仿宋" w:eastAsia="仿宋" w:cs="仿宋"/>
                <w:bCs/>
                <w:spacing w:val="-20"/>
                <w:kern w:val="0"/>
                <w:sz w:val="24"/>
              </w:rPr>
              <w:t>1、纺织行业(棉印染)生产过程清洁生产水平达到国内清洁生产先进水平。2.地下水开发利用应当以浅层地下水为主。深层地下水作为战略储备水源、应急供水水源、无替代水源地区的居民生活水源，应当严格限制开采。</w:t>
            </w:r>
          </w:p>
        </w:tc>
      </w:tr>
      <w:tr w14:paraId="33479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AB6D38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ZH13043230127</w:t>
            </w:r>
          </w:p>
        </w:tc>
        <w:tc>
          <w:tcPr>
            <w:tcW w:w="567" w:type="dxa"/>
            <w:vMerge w:val="restart"/>
            <w:noWrap w:val="0"/>
            <w:vAlign w:val="center"/>
          </w:tcPr>
          <w:p w14:paraId="6533AF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广平县</w:t>
            </w:r>
          </w:p>
        </w:tc>
        <w:tc>
          <w:tcPr>
            <w:tcW w:w="1134" w:type="dxa"/>
            <w:vMerge w:val="restart"/>
            <w:noWrap w:val="0"/>
            <w:vAlign w:val="center"/>
          </w:tcPr>
          <w:p w14:paraId="4F0A19E5">
            <w:pPr>
              <w:widowControl/>
              <w:spacing w:line="0" w:lineRule="atLeast"/>
              <w:rPr>
                <w:rFonts w:ascii="仿宋" w:hAnsi="仿宋" w:eastAsia="仿宋" w:cs="仿宋"/>
                <w:bCs/>
                <w:spacing w:val="-10"/>
                <w:kern w:val="0"/>
                <w:sz w:val="24"/>
              </w:rPr>
            </w:pPr>
            <w:r>
              <w:rPr>
                <w:rFonts w:hint="eastAsia" w:ascii="仿宋" w:hAnsi="仿宋" w:eastAsia="仿宋" w:cs="仿宋"/>
                <w:bCs/>
                <w:spacing w:val="-10"/>
                <w:kern w:val="0"/>
                <w:sz w:val="24"/>
              </w:rPr>
              <w:t>东张孟镇、广平镇、南韩镇、南阳堡镇、平固店镇、胜营镇、十里铺镇</w:t>
            </w:r>
          </w:p>
        </w:tc>
        <w:tc>
          <w:tcPr>
            <w:tcW w:w="709" w:type="dxa"/>
            <w:vMerge w:val="restart"/>
            <w:noWrap w:val="0"/>
            <w:vAlign w:val="center"/>
          </w:tcPr>
          <w:p w14:paraId="6F288E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56CAEF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65EC577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22A4DD9">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项目建设应考虑对周边敏感区的环境影响。2.禁止新上新建染料、染料中间体、有机颜料、印染助剂生产装置(鼓励类及采用鼓励类技术的除外)。3.严格地下水管理，地下水禁采区和地下水限采区内按照《河北省人民政府关于公布地下水超采区和禁止开采区、限制开采区范围的通知》（冀政字〔2022〕59号）要求执行。</w:t>
            </w:r>
          </w:p>
        </w:tc>
      </w:tr>
      <w:tr w14:paraId="2167E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742600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D0DF14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CDF1C6F">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069B53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4A137BC">
            <w:pPr>
              <w:widowControl/>
              <w:spacing w:line="0" w:lineRule="atLeast"/>
              <w:jc w:val="center"/>
              <w:rPr>
                <w:rFonts w:ascii="仿宋" w:hAnsi="仿宋" w:eastAsia="仿宋" w:cs="仿宋"/>
                <w:bCs/>
                <w:spacing w:val="-10"/>
                <w:kern w:val="0"/>
                <w:sz w:val="24"/>
              </w:rPr>
            </w:pPr>
          </w:p>
        </w:tc>
        <w:tc>
          <w:tcPr>
            <w:tcW w:w="850" w:type="dxa"/>
            <w:noWrap w:val="0"/>
            <w:vAlign w:val="center"/>
          </w:tcPr>
          <w:p w14:paraId="784B8A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9D01BD6">
            <w:pPr>
              <w:widowControl/>
              <w:spacing w:line="0" w:lineRule="atLeast"/>
              <w:ind w:firstLine="400" w:firstLineChars="200"/>
              <w:rPr>
                <w:rFonts w:ascii="仿宋" w:hAnsi="仿宋" w:eastAsia="仿宋" w:cs="仿宋"/>
                <w:bCs/>
                <w:spacing w:val="-20"/>
                <w:kern w:val="0"/>
                <w:sz w:val="24"/>
              </w:rPr>
            </w:pPr>
            <w:r>
              <w:rPr>
                <w:rFonts w:hint="eastAsia" w:ascii="仿宋" w:hAnsi="仿宋" w:eastAsia="仿宋" w:cs="仿宋"/>
                <w:bCs/>
                <w:spacing w:val="-20"/>
                <w:kern w:val="0"/>
                <w:sz w:val="24"/>
              </w:rPr>
              <w:t>1.确保“散乱污”企业动态清零。2.工业炉窑污染物排放满足《工业炉窑大气污染物排放标准》（DB13/1640-2012）中的相应排放限值，并满足《关于印发</w:t>
            </w:r>
            <w:r>
              <w:rPr>
                <w:rFonts w:hint="eastAsia" w:ascii="仿宋" w:hAnsi="仿宋" w:eastAsia="仿宋" w:cs="仿宋"/>
                <w:bCs/>
                <w:spacing w:val="-20"/>
                <w:kern w:val="0"/>
                <w:sz w:val="24"/>
                <w:lang w:eastAsia="zh-CN"/>
              </w:rPr>
              <w:t>〈河北省工业炉窑综合治理实施方案〉</w:t>
            </w:r>
            <w:r>
              <w:rPr>
                <w:rFonts w:hint="eastAsia" w:ascii="仿宋" w:hAnsi="仿宋" w:eastAsia="仿宋" w:cs="仿宋"/>
                <w:bCs/>
                <w:spacing w:val="-20"/>
                <w:kern w:val="0"/>
                <w:sz w:val="24"/>
              </w:rPr>
              <w:t>的通知》(冀环大气〔2019〕607号)及“退后十”方案中邯郸限值要求。</w:t>
            </w:r>
          </w:p>
        </w:tc>
      </w:tr>
      <w:tr w14:paraId="27E19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F862C5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12A289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8600265">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23FEC9F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9957C37">
            <w:pPr>
              <w:widowControl/>
              <w:spacing w:line="0" w:lineRule="atLeast"/>
              <w:jc w:val="center"/>
              <w:rPr>
                <w:rFonts w:ascii="仿宋" w:hAnsi="仿宋" w:eastAsia="仿宋" w:cs="仿宋"/>
                <w:bCs/>
                <w:spacing w:val="-10"/>
                <w:kern w:val="0"/>
                <w:sz w:val="24"/>
              </w:rPr>
            </w:pPr>
          </w:p>
        </w:tc>
        <w:tc>
          <w:tcPr>
            <w:tcW w:w="850" w:type="dxa"/>
            <w:noWrap w:val="0"/>
            <w:vAlign w:val="center"/>
          </w:tcPr>
          <w:p w14:paraId="64CDCCD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99CACD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编制《环境风险应急预案》，成立应急组织机构，定期开展应急演练，提高区域环境风险防范能力。建立有效的事故风险防范体系。</w:t>
            </w:r>
          </w:p>
        </w:tc>
      </w:tr>
      <w:tr w14:paraId="4FCD4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45B80B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93C11E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9D33A57">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099BE4D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72BADD">
            <w:pPr>
              <w:widowControl/>
              <w:spacing w:line="0" w:lineRule="atLeast"/>
              <w:jc w:val="center"/>
              <w:rPr>
                <w:rFonts w:ascii="仿宋" w:hAnsi="仿宋" w:eastAsia="仿宋" w:cs="仿宋"/>
                <w:bCs/>
                <w:spacing w:val="-10"/>
                <w:kern w:val="0"/>
                <w:sz w:val="24"/>
              </w:rPr>
            </w:pPr>
          </w:p>
        </w:tc>
        <w:tc>
          <w:tcPr>
            <w:tcW w:w="850" w:type="dxa"/>
            <w:noWrap w:val="0"/>
            <w:vAlign w:val="center"/>
          </w:tcPr>
          <w:p w14:paraId="0A9796D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62E2285">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1、纺织行业(棉印染)生产过程清洁生产水平达到国内清洁生产先进水平。2.地下水开发利用应当以浅层地下水为主。深层地下水作为战略储备水源、应急供水水源、无替代水源地区的居民生活水源，应当严格限制开采。</w:t>
            </w:r>
          </w:p>
        </w:tc>
      </w:tr>
    </w:tbl>
    <w:p w14:paraId="52901250">
      <w:pPr>
        <w:pStyle w:val="10"/>
        <w:numPr>
          <w:ilvl w:val="1"/>
          <w:numId w:val="0"/>
        </w:numPr>
        <w:spacing w:beforeLines="50"/>
        <w:ind w:firstLine="562" w:firstLineChars="200"/>
        <w:outlineLvl w:val="1"/>
        <w:rPr>
          <w:rFonts w:ascii="仿宋" w:hAnsi="仿宋" w:eastAsia="仿宋" w:cs="仿宋"/>
          <w:b/>
          <w:sz w:val="28"/>
          <w:szCs w:val="18"/>
        </w:rPr>
      </w:pPr>
      <w:r>
        <w:rPr>
          <w:rFonts w:hint="eastAsia" w:ascii="仿宋" w:hAnsi="仿宋" w:eastAsia="仿宋" w:cs="仿宋"/>
          <w:b/>
          <w:sz w:val="28"/>
          <w:szCs w:val="18"/>
        </w:rPr>
        <w:br w:type="page"/>
      </w:r>
      <w:r>
        <w:rPr>
          <w:rFonts w:hint="eastAsia" w:ascii="仿宋" w:hAnsi="仿宋" w:eastAsia="仿宋" w:cs="仿宋"/>
          <w:bCs/>
          <w:sz w:val="32"/>
          <w:szCs w:val="32"/>
        </w:rPr>
        <w:t>（十五）馆陶县生态环境准入清单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0"/>
        <w:gridCol w:w="4195"/>
      </w:tblGrid>
      <w:tr w14:paraId="5380C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26EE7B2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73F7DCC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4880BB9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0C6E07C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1A41635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71A25A1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0F6A753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29B79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21" w:hRule="atLeast"/>
          <w:jc w:val="center"/>
        </w:trPr>
        <w:tc>
          <w:tcPr>
            <w:tcW w:w="595" w:type="dxa"/>
            <w:vMerge w:val="restart"/>
            <w:noWrap w:val="0"/>
            <w:vAlign w:val="center"/>
          </w:tcPr>
          <w:p w14:paraId="46A7496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ZH13043310128</w:t>
            </w:r>
          </w:p>
        </w:tc>
        <w:tc>
          <w:tcPr>
            <w:tcW w:w="567" w:type="dxa"/>
            <w:vMerge w:val="restart"/>
            <w:noWrap w:val="0"/>
            <w:vAlign w:val="center"/>
          </w:tcPr>
          <w:p w14:paraId="5B6B1E2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馆陶县</w:t>
            </w:r>
          </w:p>
        </w:tc>
        <w:tc>
          <w:tcPr>
            <w:tcW w:w="1134" w:type="dxa"/>
            <w:vMerge w:val="restart"/>
            <w:noWrap w:val="0"/>
            <w:vAlign w:val="center"/>
          </w:tcPr>
          <w:p w14:paraId="7FD15E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馆陶镇、柴堡镇、魏僧寨镇、王桥乡、南徐村乡</w:t>
            </w:r>
          </w:p>
        </w:tc>
        <w:tc>
          <w:tcPr>
            <w:tcW w:w="709" w:type="dxa"/>
            <w:vMerge w:val="restart"/>
            <w:noWrap w:val="0"/>
            <w:vAlign w:val="center"/>
          </w:tcPr>
          <w:p w14:paraId="37E46E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5A93C5B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河湖滨岸带、民有总干渠、卫河、漳卫河</w:t>
            </w:r>
          </w:p>
        </w:tc>
        <w:tc>
          <w:tcPr>
            <w:tcW w:w="850" w:type="dxa"/>
            <w:noWrap w:val="0"/>
            <w:vAlign w:val="center"/>
          </w:tcPr>
          <w:p w14:paraId="327ABEC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3177EB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3.满足《河北省大运河文化保护传承利用实施规划-生态环境保护修复专项规划》《河北省大运河文化保护传承利用生态环境保护修复专项规划实施方案》中相应要求。</w:t>
            </w:r>
          </w:p>
        </w:tc>
      </w:tr>
      <w:tr w14:paraId="7614D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37" w:hRule="atLeast"/>
          <w:jc w:val="center"/>
        </w:trPr>
        <w:tc>
          <w:tcPr>
            <w:tcW w:w="595" w:type="dxa"/>
            <w:vMerge w:val="continue"/>
            <w:noWrap w:val="0"/>
            <w:vAlign w:val="center"/>
          </w:tcPr>
          <w:p w14:paraId="3B13866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036DA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8CC1D3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EF248D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AAD8260">
            <w:pPr>
              <w:widowControl/>
              <w:spacing w:line="0" w:lineRule="atLeast"/>
              <w:jc w:val="center"/>
              <w:rPr>
                <w:rFonts w:ascii="仿宋" w:hAnsi="仿宋" w:eastAsia="仿宋" w:cs="仿宋"/>
                <w:bCs/>
                <w:spacing w:val="-10"/>
                <w:kern w:val="0"/>
                <w:sz w:val="24"/>
              </w:rPr>
            </w:pPr>
          </w:p>
        </w:tc>
        <w:tc>
          <w:tcPr>
            <w:tcW w:w="850" w:type="dxa"/>
            <w:noWrap w:val="0"/>
            <w:vAlign w:val="center"/>
          </w:tcPr>
          <w:p w14:paraId="721FD38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512E28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7E68D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84BD13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0DEC5C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FE3BE8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A624C2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ED2CCB9">
            <w:pPr>
              <w:widowControl/>
              <w:spacing w:line="0" w:lineRule="atLeast"/>
              <w:jc w:val="center"/>
              <w:rPr>
                <w:rFonts w:ascii="仿宋" w:hAnsi="仿宋" w:eastAsia="仿宋" w:cs="仿宋"/>
                <w:bCs/>
                <w:spacing w:val="-10"/>
                <w:kern w:val="0"/>
                <w:sz w:val="24"/>
              </w:rPr>
            </w:pPr>
          </w:p>
        </w:tc>
        <w:tc>
          <w:tcPr>
            <w:tcW w:w="850" w:type="dxa"/>
            <w:noWrap w:val="0"/>
            <w:vAlign w:val="center"/>
          </w:tcPr>
          <w:p w14:paraId="62DD06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F3E88B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663C4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3" w:hRule="atLeast"/>
          <w:jc w:val="center"/>
        </w:trPr>
        <w:tc>
          <w:tcPr>
            <w:tcW w:w="595" w:type="dxa"/>
            <w:vMerge w:val="continue"/>
            <w:noWrap w:val="0"/>
            <w:vAlign w:val="center"/>
          </w:tcPr>
          <w:p w14:paraId="6FFD548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6F9D88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29C8AC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25432B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918FA71">
            <w:pPr>
              <w:widowControl/>
              <w:spacing w:line="0" w:lineRule="atLeast"/>
              <w:jc w:val="center"/>
              <w:rPr>
                <w:rFonts w:ascii="仿宋" w:hAnsi="仿宋" w:eastAsia="仿宋" w:cs="仿宋"/>
                <w:bCs/>
                <w:spacing w:val="-10"/>
                <w:kern w:val="0"/>
                <w:sz w:val="24"/>
              </w:rPr>
            </w:pPr>
          </w:p>
        </w:tc>
        <w:tc>
          <w:tcPr>
            <w:tcW w:w="850" w:type="dxa"/>
            <w:noWrap w:val="0"/>
            <w:vAlign w:val="center"/>
          </w:tcPr>
          <w:p w14:paraId="339D44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C49C58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22E97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5" w:hRule="atLeast"/>
          <w:jc w:val="center"/>
        </w:trPr>
        <w:tc>
          <w:tcPr>
            <w:tcW w:w="595" w:type="dxa"/>
            <w:vMerge w:val="restart"/>
            <w:noWrap w:val="0"/>
            <w:vAlign w:val="center"/>
          </w:tcPr>
          <w:p w14:paraId="3A7E347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ZH13043310129</w:t>
            </w:r>
          </w:p>
        </w:tc>
        <w:tc>
          <w:tcPr>
            <w:tcW w:w="567" w:type="dxa"/>
            <w:vMerge w:val="restart"/>
            <w:noWrap w:val="0"/>
            <w:vAlign w:val="center"/>
          </w:tcPr>
          <w:p w14:paraId="70F612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馆陶县</w:t>
            </w:r>
          </w:p>
        </w:tc>
        <w:tc>
          <w:tcPr>
            <w:tcW w:w="1134" w:type="dxa"/>
            <w:vMerge w:val="restart"/>
            <w:noWrap w:val="0"/>
            <w:vAlign w:val="center"/>
          </w:tcPr>
          <w:p w14:paraId="7640756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馆陶镇、柴堡镇、魏僧寨镇、王桥乡、南徐村乡</w:t>
            </w:r>
          </w:p>
        </w:tc>
        <w:tc>
          <w:tcPr>
            <w:tcW w:w="709" w:type="dxa"/>
            <w:vMerge w:val="restart"/>
            <w:noWrap w:val="0"/>
            <w:vAlign w:val="center"/>
          </w:tcPr>
          <w:p w14:paraId="2CF07EE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7282F0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750FABF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3DE84F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54E5E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02A490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2D8407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0D4975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04860D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5394E65">
            <w:pPr>
              <w:widowControl/>
              <w:spacing w:line="0" w:lineRule="atLeast"/>
              <w:jc w:val="center"/>
              <w:rPr>
                <w:rFonts w:ascii="仿宋" w:hAnsi="仿宋" w:eastAsia="仿宋" w:cs="仿宋"/>
                <w:bCs/>
                <w:spacing w:val="-10"/>
                <w:kern w:val="0"/>
                <w:sz w:val="24"/>
              </w:rPr>
            </w:pPr>
          </w:p>
        </w:tc>
        <w:tc>
          <w:tcPr>
            <w:tcW w:w="850" w:type="dxa"/>
            <w:noWrap w:val="0"/>
            <w:vAlign w:val="center"/>
          </w:tcPr>
          <w:p w14:paraId="6DF98F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533ACD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410A1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64" w:hRule="atLeast"/>
          <w:jc w:val="center"/>
        </w:trPr>
        <w:tc>
          <w:tcPr>
            <w:tcW w:w="595" w:type="dxa"/>
            <w:vMerge w:val="continue"/>
            <w:noWrap w:val="0"/>
            <w:vAlign w:val="center"/>
          </w:tcPr>
          <w:p w14:paraId="3C84221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5B80B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170E74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45C5A2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B6E426D">
            <w:pPr>
              <w:widowControl/>
              <w:spacing w:line="0" w:lineRule="atLeast"/>
              <w:jc w:val="center"/>
              <w:rPr>
                <w:rFonts w:ascii="仿宋" w:hAnsi="仿宋" w:eastAsia="仿宋" w:cs="仿宋"/>
                <w:bCs/>
                <w:spacing w:val="-10"/>
                <w:kern w:val="0"/>
                <w:sz w:val="24"/>
              </w:rPr>
            </w:pPr>
          </w:p>
        </w:tc>
        <w:tc>
          <w:tcPr>
            <w:tcW w:w="850" w:type="dxa"/>
            <w:noWrap w:val="0"/>
            <w:vAlign w:val="center"/>
          </w:tcPr>
          <w:p w14:paraId="1192A0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FB02F7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45F33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05239F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D59002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DF17C2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258021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BDBAF4B">
            <w:pPr>
              <w:widowControl/>
              <w:spacing w:line="0" w:lineRule="atLeast"/>
              <w:jc w:val="center"/>
              <w:rPr>
                <w:rFonts w:ascii="仿宋" w:hAnsi="仿宋" w:eastAsia="仿宋" w:cs="仿宋"/>
                <w:bCs/>
                <w:spacing w:val="-10"/>
                <w:kern w:val="0"/>
                <w:sz w:val="24"/>
              </w:rPr>
            </w:pPr>
          </w:p>
        </w:tc>
        <w:tc>
          <w:tcPr>
            <w:tcW w:w="850" w:type="dxa"/>
            <w:noWrap w:val="0"/>
            <w:vAlign w:val="center"/>
          </w:tcPr>
          <w:p w14:paraId="6775C9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FCD84A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0E1A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01F89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ZH13043320130</w:t>
            </w:r>
          </w:p>
        </w:tc>
        <w:tc>
          <w:tcPr>
            <w:tcW w:w="567" w:type="dxa"/>
            <w:vMerge w:val="restart"/>
            <w:noWrap w:val="0"/>
            <w:vAlign w:val="center"/>
          </w:tcPr>
          <w:p w14:paraId="582F45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馆陶县</w:t>
            </w:r>
          </w:p>
        </w:tc>
        <w:tc>
          <w:tcPr>
            <w:tcW w:w="1134" w:type="dxa"/>
            <w:vMerge w:val="restart"/>
            <w:noWrap w:val="0"/>
            <w:vAlign w:val="center"/>
          </w:tcPr>
          <w:p w14:paraId="321EE1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馆陶镇、房寨镇、柴堡镇、魏僧寨镇、寿山寺乡</w:t>
            </w:r>
          </w:p>
        </w:tc>
        <w:tc>
          <w:tcPr>
            <w:tcW w:w="709" w:type="dxa"/>
            <w:vMerge w:val="restart"/>
            <w:noWrap w:val="0"/>
            <w:vAlign w:val="center"/>
          </w:tcPr>
          <w:p w14:paraId="2C40941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2B5725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大气环境高排放重点管控区、水环境工业污染重点管控区、馆陶经济开发区、地下水开采重点管控区</w:t>
            </w:r>
          </w:p>
        </w:tc>
        <w:tc>
          <w:tcPr>
            <w:tcW w:w="850" w:type="dxa"/>
            <w:noWrap w:val="0"/>
            <w:vAlign w:val="center"/>
          </w:tcPr>
          <w:p w14:paraId="27AF36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BFCB3E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规划各产业中，国家已出台行业准入条件的，应符合行业准入条件要求。2.开发区入区企业清洁生产水平满足国家已经颁布的相应清洁生产标准二级以上水平或国内先进水平，同时符合循环经济要求。3.禁止建设不符合园区产业定位项目。4.严格地下水管理，地下水禁采区和地下水限采区内按照《河北省人民政府关于公布地下水超采区和禁止开采区、限制开采区范围的通知》（冀政字〔2022〕59号）要求执行。</w:t>
            </w:r>
          </w:p>
        </w:tc>
      </w:tr>
      <w:tr w14:paraId="74511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89A99D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44D4C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849F47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477ED0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45A0A82">
            <w:pPr>
              <w:widowControl/>
              <w:spacing w:line="0" w:lineRule="atLeast"/>
              <w:jc w:val="center"/>
              <w:rPr>
                <w:rFonts w:ascii="仿宋" w:hAnsi="仿宋" w:eastAsia="仿宋" w:cs="仿宋"/>
                <w:bCs/>
                <w:spacing w:val="-10"/>
                <w:kern w:val="0"/>
                <w:sz w:val="24"/>
              </w:rPr>
            </w:pPr>
          </w:p>
        </w:tc>
        <w:tc>
          <w:tcPr>
            <w:tcW w:w="850" w:type="dxa"/>
            <w:noWrap w:val="0"/>
            <w:vAlign w:val="center"/>
          </w:tcPr>
          <w:p w14:paraId="501AA8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DF8699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危险废物集中处置厂（河北镕达环保科技有限公司）需严格执行《中华人民共和国固体废物污染环境防治法》及《关于加强危险废物贮存管理的通知》(冀环办字函〔2019〕407号)规定。2.入区项目必须实现区域污染物总量的倍量削减，同时开发区现有企业及入驻企业污染物排放满足特别排放限值要求。3.新（改、扩）建排污单位执行《黑龙港及运东流域水污染物排放标准》（DB13/2797-2018)相应排放限值。</w:t>
            </w:r>
          </w:p>
        </w:tc>
      </w:tr>
      <w:tr w14:paraId="0A30D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33DC2B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C27B5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0184DC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AF4B4A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285D61B">
            <w:pPr>
              <w:widowControl/>
              <w:spacing w:line="0" w:lineRule="atLeast"/>
              <w:jc w:val="center"/>
              <w:rPr>
                <w:rFonts w:ascii="仿宋" w:hAnsi="仿宋" w:eastAsia="仿宋" w:cs="仿宋"/>
                <w:bCs/>
                <w:spacing w:val="-10"/>
                <w:kern w:val="0"/>
                <w:sz w:val="24"/>
              </w:rPr>
            </w:pPr>
          </w:p>
        </w:tc>
        <w:tc>
          <w:tcPr>
            <w:tcW w:w="850" w:type="dxa"/>
            <w:noWrap w:val="0"/>
            <w:vAlign w:val="center"/>
          </w:tcPr>
          <w:p w14:paraId="19B44E4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12A844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入区的化工企业应制定《环境风险应急预案》，明确环境风险防范措施，建设并完善日常和应急监测系统，配备大气、水环境特征污染物监控设备，编制日常和应急监测方案，建立完备的环境信息平台，接受公众监督。</w:t>
            </w:r>
          </w:p>
        </w:tc>
      </w:tr>
      <w:tr w14:paraId="45D0E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BC5294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D7F4EC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E447AD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56E04D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DECDB22">
            <w:pPr>
              <w:widowControl/>
              <w:spacing w:line="0" w:lineRule="atLeast"/>
              <w:jc w:val="center"/>
              <w:rPr>
                <w:rFonts w:ascii="仿宋" w:hAnsi="仿宋" w:eastAsia="仿宋" w:cs="仿宋"/>
                <w:bCs/>
                <w:spacing w:val="-10"/>
                <w:kern w:val="0"/>
                <w:sz w:val="24"/>
              </w:rPr>
            </w:pPr>
          </w:p>
        </w:tc>
        <w:tc>
          <w:tcPr>
            <w:tcW w:w="850" w:type="dxa"/>
            <w:noWrap w:val="0"/>
            <w:vAlign w:val="center"/>
          </w:tcPr>
          <w:p w14:paraId="2662F62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DEFF3E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1.入区企业单位工业增加值新鲜水耗、再生水回用率、单位工业增加值综合能耗等指标必须满足《国家生态工业示范园区标准》(HJ274-2015)要求。2.地下水开发利用应当以浅层地下水为主。深层地下水作为战略储备水源、应急供水水源、无替代水源地区的居民生活水源，应当严格限制开采。</w:t>
            </w:r>
          </w:p>
        </w:tc>
      </w:tr>
      <w:tr w14:paraId="70C4E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20CAB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ZH13043320131</w:t>
            </w:r>
          </w:p>
        </w:tc>
        <w:tc>
          <w:tcPr>
            <w:tcW w:w="567" w:type="dxa"/>
            <w:vMerge w:val="restart"/>
            <w:noWrap w:val="0"/>
            <w:vAlign w:val="center"/>
          </w:tcPr>
          <w:p w14:paraId="45E895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馆陶县</w:t>
            </w:r>
          </w:p>
        </w:tc>
        <w:tc>
          <w:tcPr>
            <w:tcW w:w="1134" w:type="dxa"/>
            <w:vMerge w:val="restart"/>
            <w:noWrap w:val="0"/>
            <w:vAlign w:val="center"/>
          </w:tcPr>
          <w:p w14:paraId="4E87AA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馆陶镇、寿山寺乡</w:t>
            </w:r>
          </w:p>
        </w:tc>
        <w:tc>
          <w:tcPr>
            <w:tcW w:w="709" w:type="dxa"/>
            <w:vMerge w:val="restart"/>
            <w:noWrap w:val="0"/>
            <w:vAlign w:val="center"/>
          </w:tcPr>
          <w:p w14:paraId="12B74EB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62D49B4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大气环境受体敏感重点管控区、地下水开采重点管控区</w:t>
            </w:r>
          </w:p>
        </w:tc>
        <w:tc>
          <w:tcPr>
            <w:tcW w:w="850" w:type="dxa"/>
            <w:noWrap w:val="0"/>
            <w:vAlign w:val="center"/>
          </w:tcPr>
          <w:p w14:paraId="469D0F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7B8A74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企业的布局及厂址的确定应符合国家相关法律法规、产业政策以及各地方政府装备制造业和铸造行业的总体规划要求。2.企业规模、生产工艺、生产装备、质量控制和能源消耗、环境保护等指标要求满足《铸造企业规范条件》(T/CFA0310021-2019)中相应指标要求。3.满足《河北省大运河文化保护传承利用实施规划-生态环境保护修复专项规划》《河北省大运河文化保护传承利用生态环境保护修复专项规划实施方案》（冀环综合函〔2021〕136号）中相应要求。4.严格地下水管理，地下水禁采区和地下水限采区内按照《河北省人民政府关于公布地下水超采区和禁止开采区、限制开采区范围的通知》（冀政字〔2022〕59号）要求执行。</w:t>
            </w:r>
          </w:p>
        </w:tc>
      </w:tr>
      <w:tr w14:paraId="3497E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1C0844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CCE99A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00DA5C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2B4E68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2456C76">
            <w:pPr>
              <w:widowControl/>
              <w:spacing w:line="0" w:lineRule="atLeast"/>
              <w:jc w:val="center"/>
              <w:rPr>
                <w:rFonts w:ascii="仿宋" w:hAnsi="仿宋" w:eastAsia="仿宋" w:cs="仿宋"/>
                <w:bCs/>
                <w:spacing w:val="-10"/>
                <w:kern w:val="0"/>
                <w:sz w:val="24"/>
              </w:rPr>
            </w:pPr>
          </w:p>
        </w:tc>
        <w:tc>
          <w:tcPr>
            <w:tcW w:w="850" w:type="dxa"/>
            <w:noWrap w:val="0"/>
            <w:vAlign w:val="center"/>
          </w:tcPr>
          <w:p w14:paraId="41E1BE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129F0A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铸造工业污染物排放满足《铸造工业大气污染物排放标准》(GB39726-2020)及地方标准中相应排放限值要求。2.钢铁、水泥、平板玻璃、陶瓷、焦化、铸造行业企业料堆场按照《煤场、料场、渣场扬尘污染控制技术规范》(DB13/T2352-2016)存储要求，实现规范管理。3.全面加强原辅材料源头替代，从源头减少VOCs产生。涉VOCs重点企业全面执行《挥发性有机物无组织排放控制标准》(GB37822-2019)。选择适宜的废气治理工艺，对VOCs污染源进行有效处理。</w:t>
            </w:r>
          </w:p>
        </w:tc>
      </w:tr>
      <w:tr w14:paraId="5A4190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1066CE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C5BFB8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6058F8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2DDE47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17DB09C">
            <w:pPr>
              <w:widowControl/>
              <w:spacing w:line="0" w:lineRule="atLeast"/>
              <w:jc w:val="center"/>
              <w:rPr>
                <w:rFonts w:ascii="仿宋" w:hAnsi="仿宋" w:eastAsia="仿宋" w:cs="仿宋"/>
                <w:bCs/>
                <w:spacing w:val="-10"/>
                <w:kern w:val="0"/>
                <w:sz w:val="24"/>
              </w:rPr>
            </w:pPr>
          </w:p>
        </w:tc>
        <w:tc>
          <w:tcPr>
            <w:tcW w:w="850" w:type="dxa"/>
            <w:noWrap w:val="0"/>
            <w:vAlign w:val="center"/>
          </w:tcPr>
          <w:p w14:paraId="0C14E9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C57401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落实重金属相关行业规范条件，禁止新建落后产能项目，严禁产能严重过剩行业新增产能建设项目。禁止向涉重金属相关行业落后产能和产能过剩行业供应土地。2.工艺过程中产生的含VOCs废料(渣、液)满足《挥发性有机物无组织排放控制标准》(GB37822-2019)中的要求。3.涉及易燃易爆有毒有害的危险化学品严格按照规程储存使用。</w:t>
            </w:r>
          </w:p>
        </w:tc>
      </w:tr>
      <w:tr w14:paraId="5DFBF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6B66C9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24E61B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72A29B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CEF3DC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C2841E3">
            <w:pPr>
              <w:widowControl/>
              <w:spacing w:line="0" w:lineRule="atLeast"/>
              <w:jc w:val="center"/>
              <w:rPr>
                <w:rFonts w:ascii="仿宋" w:hAnsi="仿宋" w:eastAsia="仿宋" w:cs="仿宋"/>
                <w:bCs/>
                <w:spacing w:val="-10"/>
                <w:kern w:val="0"/>
                <w:sz w:val="24"/>
              </w:rPr>
            </w:pPr>
          </w:p>
        </w:tc>
        <w:tc>
          <w:tcPr>
            <w:tcW w:w="850" w:type="dxa"/>
            <w:noWrap w:val="0"/>
            <w:vAlign w:val="center"/>
          </w:tcPr>
          <w:p w14:paraId="265B7BE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468B0A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1.淘汰集中供热管网覆盖范围内的散煤。2.地下水开发利用应当以浅层地下水为主。深层地下水作为战略储备水源、应急供水水源、无替代水源地区的居民生活水源，应当严格限制开采。</w:t>
            </w:r>
          </w:p>
        </w:tc>
      </w:tr>
      <w:tr w14:paraId="4C41C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FF3A8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ZH13043330132</w:t>
            </w:r>
          </w:p>
        </w:tc>
        <w:tc>
          <w:tcPr>
            <w:tcW w:w="567" w:type="dxa"/>
            <w:vMerge w:val="restart"/>
            <w:noWrap w:val="0"/>
            <w:vAlign w:val="center"/>
          </w:tcPr>
          <w:p w14:paraId="7B0AF5A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馆陶县</w:t>
            </w:r>
          </w:p>
        </w:tc>
        <w:tc>
          <w:tcPr>
            <w:tcW w:w="1134" w:type="dxa"/>
            <w:vMerge w:val="restart"/>
            <w:noWrap w:val="0"/>
            <w:vAlign w:val="center"/>
          </w:tcPr>
          <w:p w14:paraId="58881D3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馆陶镇、房寨镇、柴堡镇、魏僧寨镇、寿山寺乡、王桥乡、南徐村乡、路桥乡</w:t>
            </w:r>
          </w:p>
        </w:tc>
        <w:tc>
          <w:tcPr>
            <w:tcW w:w="709" w:type="dxa"/>
            <w:vMerge w:val="restart"/>
            <w:noWrap w:val="0"/>
            <w:vAlign w:val="center"/>
          </w:tcPr>
          <w:p w14:paraId="06E084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6539FF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322C97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15C255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企业的布局及厂址的确定应符合国家相关法律法规、产业政策以及各地方政府装备制造业和铸造行业的总体规划要求。2.企业规模、生产工艺、生产装备、质量控制和能源消耗、环境保护等指标要求满足《铸造企业规范条件》(T/CFA0310021-2019)中相应指标要求。3.满足《河北省大运河文化保护传承利用实施规划-生态环境保护修复专项规划》《河北省大运河文化保护传承利用生态环境保护修复专项规划实施方案》（冀环综合函〔2021〕136号）中相应要求。4.严格地下水管理，地下水禁采区和地下水限采区内按照《河北省人民政府关于公布地下水超采区和禁止开采区、限制开采区范围的通知》（冀政字〔2022〕59号）要求执行。</w:t>
            </w:r>
          </w:p>
        </w:tc>
      </w:tr>
      <w:tr w14:paraId="6A86B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5B01AA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F62FAA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0D8E319">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0D9B18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2888AAA">
            <w:pPr>
              <w:widowControl/>
              <w:spacing w:line="0" w:lineRule="atLeast"/>
              <w:jc w:val="center"/>
              <w:rPr>
                <w:rFonts w:ascii="仿宋" w:hAnsi="仿宋" w:eastAsia="仿宋" w:cs="仿宋"/>
                <w:bCs/>
                <w:spacing w:val="-10"/>
                <w:kern w:val="0"/>
                <w:sz w:val="24"/>
              </w:rPr>
            </w:pPr>
          </w:p>
        </w:tc>
        <w:tc>
          <w:tcPr>
            <w:tcW w:w="850" w:type="dxa"/>
            <w:noWrap w:val="0"/>
            <w:vAlign w:val="center"/>
          </w:tcPr>
          <w:p w14:paraId="05F002C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57B5DC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铸造工业污染物排放满足《铸造工业大气污染物排放标准》(GB39726-2020)及地方标准中相应要求。2.钢铁、水泥、平板玻璃、陶瓷、焦化、铸造行业企业料堆场按照《煤场、料场、渣场扬尘污染控制技术规范》(DB13/T2352-2016)存储要求，实现规范管理。3.全面加强原辅材料源头替代，从源头减少VOCs产生。涉VOCs重点企业全面执行《挥发性有机物无组织排放控制标准》(GB37822-2019)。选择适宜的废气治理工艺，对VOCs污染源进行有效处理。</w:t>
            </w:r>
          </w:p>
        </w:tc>
      </w:tr>
      <w:tr w14:paraId="7F96A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A9A25E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A7B80D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914C0CF">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56D736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7136C42">
            <w:pPr>
              <w:widowControl/>
              <w:spacing w:line="0" w:lineRule="atLeast"/>
              <w:jc w:val="center"/>
              <w:rPr>
                <w:rFonts w:ascii="仿宋" w:hAnsi="仿宋" w:eastAsia="仿宋" w:cs="仿宋"/>
                <w:bCs/>
                <w:spacing w:val="-10"/>
                <w:kern w:val="0"/>
                <w:sz w:val="24"/>
              </w:rPr>
            </w:pPr>
          </w:p>
        </w:tc>
        <w:tc>
          <w:tcPr>
            <w:tcW w:w="850" w:type="dxa"/>
            <w:noWrap w:val="0"/>
            <w:vAlign w:val="center"/>
          </w:tcPr>
          <w:p w14:paraId="21B559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62DB75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落实重金属相关行业规范条件，禁止新建落后产能项目，严禁产能严重过剩行业新增产能建设项目。禁止向涉重金属相关行业落后产能和产能过剩行业供应土地。2.工艺过程中产生的含VOCs废料(渣、液)满足《挥发性有机物无组织排放控制标准》(GB37822-2019)中的要求。3.发生突发事件可能造成土壤污染的，应当立即采取应急措施，防止土壤污染，并做好土壤污染状况监测、调查和土壤污染风险评估、风险管控、修复等工作。</w:t>
            </w:r>
          </w:p>
        </w:tc>
      </w:tr>
      <w:tr w14:paraId="1F2BF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CA8B5C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BC58F5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4F62FEE">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238D554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1E3765A">
            <w:pPr>
              <w:widowControl/>
              <w:spacing w:line="0" w:lineRule="atLeast"/>
              <w:jc w:val="center"/>
              <w:rPr>
                <w:rFonts w:ascii="仿宋" w:hAnsi="仿宋" w:eastAsia="仿宋" w:cs="仿宋"/>
                <w:bCs/>
                <w:spacing w:val="-10"/>
                <w:kern w:val="0"/>
                <w:sz w:val="24"/>
              </w:rPr>
            </w:pPr>
          </w:p>
        </w:tc>
        <w:tc>
          <w:tcPr>
            <w:tcW w:w="850" w:type="dxa"/>
            <w:noWrap w:val="0"/>
            <w:vAlign w:val="center"/>
          </w:tcPr>
          <w:p w14:paraId="71960C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E5207C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1.淘汰集中供热管网覆盖范围内的散煤。2.地下水开发利用应当以浅层地下水为主。深层地下水作为战略储备水源、应急供水水源、无替代水源地区的居民生活水源，应当严格限制开采。</w:t>
            </w:r>
          </w:p>
        </w:tc>
      </w:tr>
    </w:tbl>
    <w:p w14:paraId="6C8E2223">
      <w:pPr>
        <w:pStyle w:val="10"/>
        <w:spacing w:before="240"/>
        <w:ind w:left="0" w:leftChars="0" w:firstLine="0" w:firstLineChars="0"/>
        <w:jc w:val="left"/>
        <w:rPr>
          <w:rFonts w:ascii="仿宋" w:hAnsi="仿宋" w:eastAsia="仿宋" w:cs="仿宋"/>
          <w:b/>
          <w:sz w:val="28"/>
          <w:szCs w:val="18"/>
        </w:rPr>
      </w:pPr>
    </w:p>
    <w:p w14:paraId="684FACB2">
      <w:pPr>
        <w:pStyle w:val="10"/>
        <w:numPr>
          <w:ilvl w:val="1"/>
          <w:numId w:val="0"/>
        </w:numPr>
        <w:spacing w:beforeLines="50"/>
        <w:ind w:firstLine="420" w:firstLineChars="200"/>
        <w:outlineLvl w:val="1"/>
        <w:rPr>
          <w:rFonts w:ascii="仿宋" w:hAnsi="仿宋" w:eastAsia="仿宋" w:cs="仿宋"/>
        </w:rPr>
      </w:pPr>
      <w:r>
        <w:rPr>
          <w:rFonts w:hint="eastAsia" w:ascii="仿宋" w:hAnsi="仿宋" w:eastAsia="仿宋" w:cs="仿宋"/>
        </w:rPr>
        <w:br w:type="page"/>
      </w:r>
      <w:r>
        <w:rPr>
          <w:rFonts w:hint="eastAsia" w:ascii="仿宋" w:hAnsi="仿宋" w:eastAsia="仿宋" w:cs="仿宋"/>
          <w:bCs/>
          <w:sz w:val="32"/>
          <w:szCs w:val="32"/>
        </w:rPr>
        <w:t>（十六）魏县生态环境准入清单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0"/>
        <w:gridCol w:w="4195"/>
      </w:tblGrid>
      <w:tr w14:paraId="6D606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043AA00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27FBC71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72583E4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751B06A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1CFB8269">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1250B11B">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4083F74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2455F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DE9C77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ZH13043410133</w:t>
            </w:r>
          </w:p>
        </w:tc>
        <w:tc>
          <w:tcPr>
            <w:tcW w:w="567" w:type="dxa"/>
            <w:vMerge w:val="restart"/>
            <w:noWrap w:val="0"/>
            <w:vAlign w:val="center"/>
          </w:tcPr>
          <w:p w14:paraId="3B0A95A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0AA0B54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边马镇、德政镇、东代固镇、棘针寨镇、南双庙镇、泊口镇、沙口集乡、双井镇、魏城镇、牙里镇、野胡拐乡、院堡镇、张二庄镇</w:t>
            </w:r>
          </w:p>
        </w:tc>
        <w:tc>
          <w:tcPr>
            <w:tcW w:w="709" w:type="dxa"/>
            <w:vMerge w:val="restart"/>
            <w:noWrap w:val="0"/>
            <w:vAlign w:val="center"/>
          </w:tcPr>
          <w:p w14:paraId="511C12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395391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河湖滨岸带、卫河、引黄入冀补淀</w:t>
            </w:r>
          </w:p>
        </w:tc>
        <w:tc>
          <w:tcPr>
            <w:tcW w:w="850" w:type="dxa"/>
            <w:noWrap w:val="0"/>
            <w:vAlign w:val="center"/>
          </w:tcPr>
          <w:p w14:paraId="2500BC3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04D23F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3.满足《河北省大运河文化保护传承利用实施规划-生态环境保护修复专项规划》《河北省大运河文化保护传承利用生态环境保护修复专项规划实施方案》中相应要求。</w:t>
            </w:r>
          </w:p>
        </w:tc>
      </w:tr>
      <w:tr w14:paraId="12784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41A7FF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AD522A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55AECD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8049DB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CA74249">
            <w:pPr>
              <w:widowControl/>
              <w:spacing w:line="0" w:lineRule="atLeast"/>
              <w:jc w:val="center"/>
              <w:rPr>
                <w:rFonts w:ascii="仿宋" w:hAnsi="仿宋" w:eastAsia="仿宋" w:cs="仿宋"/>
                <w:bCs/>
                <w:spacing w:val="-10"/>
                <w:kern w:val="0"/>
                <w:sz w:val="24"/>
              </w:rPr>
            </w:pPr>
          </w:p>
        </w:tc>
        <w:tc>
          <w:tcPr>
            <w:tcW w:w="850" w:type="dxa"/>
            <w:noWrap w:val="0"/>
            <w:vAlign w:val="center"/>
          </w:tcPr>
          <w:p w14:paraId="7EC8D8A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486A70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7590C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EC25B5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D0BEA5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1C011D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3B9F3E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38FA6CF">
            <w:pPr>
              <w:widowControl/>
              <w:spacing w:line="0" w:lineRule="atLeast"/>
              <w:jc w:val="center"/>
              <w:rPr>
                <w:rFonts w:ascii="仿宋" w:hAnsi="仿宋" w:eastAsia="仿宋" w:cs="仿宋"/>
                <w:bCs/>
                <w:spacing w:val="-10"/>
                <w:kern w:val="0"/>
                <w:sz w:val="24"/>
              </w:rPr>
            </w:pPr>
          </w:p>
        </w:tc>
        <w:tc>
          <w:tcPr>
            <w:tcW w:w="850" w:type="dxa"/>
            <w:noWrap w:val="0"/>
            <w:vAlign w:val="center"/>
          </w:tcPr>
          <w:p w14:paraId="068426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C8C3D3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2F585E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78D08B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1B4335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08D8B2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10DBBA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92D8B6A">
            <w:pPr>
              <w:widowControl/>
              <w:spacing w:line="0" w:lineRule="atLeast"/>
              <w:jc w:val="center"/>
              <w:rPr>
                <w:rFonts w:ascii="仿宋" w:hAnsi="仿宋" w:eastAsia="仿宋" w:cs="仿宋"/>
                <w:bCs/>
                <w:spacing w:val="-10"/>
                <w:kern w:val="0"/>
                <w:sz w:val="24"/>
              </w:rPr>
            </w:pPr>
          </w:p>
        </w:tc>
        <w:tc>
          <w:tcPr>
            <w:tcW w:w="850" w:type="dxa"/>
            <w:noWrap w:val="0"/>
            <w:vAlign w:val="center"/>
          </w:tcPr>
          <w:p w14:paraId="744BD0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2F470AF">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AB06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9547EC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ZH13043410134</w:t>
            </w:r>
          </w:p>
        </w:tc>
        <w:tc>
          <w:tcPr>
            <w:tcW w:w="567" w:type="dxa"/>
            <w:vMerge w:val="restart"/>
            <w:noWrap w:val="0"/>
            <w:vAlign w:val="center"/>
          </w:tcPr>
          <w:p w14:paraId="135A7FD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2316928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北皋镇、双井镇、车往镇、南双庙镇、沙口集乡、野胡拐乡、前大磨乡、大辛庄乡、北台头乡</w:t>
            </w:r>
          </w:p>
        </w:tc>
        <w:tc>
          <w:tcPr>
            <w:tcW w:w="709" w:type="dxa"/>
            <w:vMerge w:val="restart"/>
            <w:noWrap w:val="0"/>
            <w:vAlign w:val="center"/>
          </w:tcPr>
          <w:p w14:paraId="085490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1ED2A68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6FC410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2441DA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满足《河北省大运河文化保护传承利用实施规划-生态环境保护修复专项规划》《河北省大运河文化保护传承利用生态环境保护修复专项规划实施方案》中相应要求。</w:t>
            </w:r>
          </w:p>
        </w:tc>
      </w:tr>
      <w:tr w14:paraId="2F526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0E82D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F3C60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DADE74F">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67443DC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FE123BE">
            <w:pPr>
              <w:widowControl/>
              <w:spacing w:line="0" w:lineRule="atLeast"/>
              <w:jc w:val="center"/>
              <w:rPr>
                <w:rFonts w:ascii="仿宋" w:hAnsi="仿宋" w:eastAsia="仿宋" w:cs="仿宋"/>
                <w:bCs/>
                <w:spacing w:val="-10"/>
                <w:kern w:val="0"/>
                <w:sz w:val="24"/>
              </w:rPr>
            </w:pPr>
          </w:p>
        </w:tc>
        <w:tc>
          <w:tcPr>
            <w:tcW w:w="850" w:type="dxa"/>
            <w:noWrap w:val="0"/>
            <w:vAlign w:val="center"/>
          </w:tcPr>
          <w:p w14:paraId="1705FB3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B3D94D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50D12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61C05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05AEC6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E95244C">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5894ABB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7AF34A6">
            <w:pPr>
              <w:widowControl/>
              <w:spacing w:line="0" w:lineRule="atLeast"/>
              <w:jc w:val="center"/>
              <w:rPr>
                <w:rFonts w:ascii="仿宋" w:hAnsi="仿宋" w:eastAsia="仿宋" w:cs="仿宋"/>
                <w:bCs/>
                <w:spacing w:val="-10"/>
                <w:kern w:val="0"/>
                <w:sz w:val="24"/>
              </w:rPr>
            </w:pPr>
          </w:p>
        </w:tc>
        <w:tc>
          <w:tcPr>
            <w:tcW w:w="850" w:type="dxa"/>
            <w:noWrap w:val="0"/>
            <w:vAlign w:val="center"/>
          </w:tcPr>
          <w:p w14:paraId="5CEEB0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C2AB1C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2DC0F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0B29DD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D50CD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A8D270A">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5472CF2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770DBF2">
            <w:pPr>
              <w:widowControl/>
              <w:spacing w:line="0" w:lineRule="atLeast"/>
              <w:jc w:val="center"/>
              <w:rPr>
                <w:rFonts w:ascii="仿宋" w:hAnsi="仿宋" w:eastAsia="仿宋" w:cs="仿宋"/>
                <w:bCs/>
                <w:spacing w:val="-10"/>
                <w:kern w:val="0"/>
                <w:sz w:val="24"/>
              </w:rPr>
            </w:pPr>
          </w:p>
        </w:tc>
        <w:tc>
          <w:tcPr>
            <w:tcW w:w="850" w:type="dxa"/>
            <w:noWrap w:val="0"/>
            <w:vAlign w:val="center"/>
          </w:tcPr>
          <w:p w14:paraId="6F0E36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90A860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203F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8DCEE5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ZH13043420135</w:t>
            </w:r>
          </w:p>
        </w:tc>
        <w:tc>
          <w:tcPr>
            <w:tcW w:w="567" w:type="dxa"/>
            <w:vMerge w:val="restart"/>
            <w:noWrap w:val="0"/>
            <w:vAlign w:val="center"/>
          </w:tcPr>
          <w:p w14:paraId="2BFC0C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6E8839B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魏城镇、德政镇、东代固镇、沙口集乡</w:t>
            </w:r>
          </w:p>
        </w:tc>
        <w:tc>
          <w:tcPr>
            <w:tcW w:w="709" w:type="dxa"/>
            <w:vMerge w:val="restart"/>
            <w:noWrap w:val="0"/>
            <w:vAlign w:val="center"/>
          </w:tcPr>
          <w:p w14:paraId="4345BA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5021BDB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大气环境高排放重点管控区、水环境工业污染重点管控区、魏县经济开发区、地下水开采重点管控区</w:t>
            </w:r>
          </w:p>
        </w:tc>
        <w:tc>
          <w:tcPr>
            <w:tcW w:w="850" w:type="dxa"/>
            <w:noWrap w:val="0"/>
            <w:vAlign w:val="center"/>
          </w:tcPr>
          <w:p w14:paraId="25CBA23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4E7D9D3">
            <w:pPr>
              <w:widowControl/>
              <w:spacing w:line="0" w:lineRule="atLeast"/>
              <w:ind w:firstLine="416" w:firstLineChars="200"/>
              <w:rPr>
                <w:rFonts w:ascii="仿宋" w:hAnsi="仿宋" w:eastAsia="仿宋" w:cs="仿宋"/>
                <w:spacing w:val="-16"/>
                <w:sz w:val="24"/>
              </w:rPr>
            </w:pPr>
            <w:r>
              <w:rPr>
                <w:rFonts w:hint="eastAsia" w:ascii="仿宋" w:hAnsi="仿宋" w:eastAsia="仿宋" w:cs="仿宋"/>
                <w:bCs/>
                <w:spacing w:val="-16"/>
                <w:kern w:val="0"/>
                <w:sz w:val="24"/>
              </w:rPr>
              <w:t>1.不符合经济开发区产业定位、污染物排放较大的行业；高水耗、高物耗、高能耗的项目；废水含难降解的有机污染物、“三致”污染物及盐份含量较高的项目；废水经预处理达不到污水处理厂接管标准的项目；污染严重的项目；高耗水项目；工艺废气中含有难处理的、有毒有害物质的项目；采用落后的生产工艺或设备，不符合国家相关产业政策的项目禁止入区。2.满足《河北省大运河文化保护传承利用实施规划-生态环境保护修复专项规划》《河北省大运河文化保护传承利用生态环境保护修复专项规划实施方案》中相应要求。3.严格地下水管理，地下水禁采区和地下水限采区内按照《河北省人民政府关于公布地下水超采区和禁止开采区、限制开采区范围的通知》（冀政字〔2022〕59号）要求执行。</w:t>
            </w:r>
          </w:p>
        </w:tc>
      </w:tr>
      <w:tr w14:paraId="3B667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F2662B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D355A6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1E651B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3E268E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A993B82">
            <w:pPr>
              <w:widowControl/>
              <w:spacing w:line="0" w:lineRule="atLeast"/>
              <w:jc w:val="center"/>
              <w:rPr>
                <w:rFonts w:ascii="仿宋" w:hAnsi="仿宋" w:eastAsia="仿宋" w:cs="仿宋"/>
                <w:bCs/>
                <w:spacing w:val="-10"/>
                <w:kern w:val="0"/>
                <w:sz w:val="24"/>
              </w:rPr>
            </w:pPr>
          </w:p>
        </w:tc>
        <w:tc>
          <w:tcPr>
            <w:tcW w:w="850" w:type="dxa"/>
            <w:noWrap w:val="0"/>
            <w:vAlign w:val="center"/>
          </w:tcPr>
          <w:p w14:paraId="1619AE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ED1DD29">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入园企业污染物排放满足各污染物排放标准特别排放限值要求。2.开发区内锅炉污染物排放满足《锅炉大气污染物排放标准》（DB13/5161-2020）相应排放限值要求。3.涉VOCs排放工业企业污染物排放满足《工业企业挥发性有机物排放控制标准》（DB13/2322-2016）及《挥发性有机物无组织排放控制标准》（GB37822-2019）相应排放限值要求。4.电镀废水经电镀小区污水处理站集中处理深度处理后，全部回用。</w:t>
            </w:r>
          </w:p>
        </w:tc>
      </w:tr>
      <w:tr w14:paraId="00AF3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F7439A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F6A87F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AB3F63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8F7C65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1D0DC62">
            <w:pPr>
              <w:widowControl/>
              <w:spacing w:line="0" w:lineRule="atLeast"/>
              <w:jc w:val="center"/>
              <w:rPr>
                <w:rFonts w:ascii="仿宋" w:hAnsi="仿宋" w:eastAsia="仿宋" w:cs="仿宋"/>
                <w:bCs/>
                <w:spacing w:val="-10"/>
                <w:kern w:val="0"/>
                <w:sz w:val="24"/>
              </w:rPr>
            </w:pPr>
          </w:p>
        </w:tc>
        <w:tc>
          <w:tcPr>
            <w:tcW w:w="850" w:type="dxa"/>
            <w:noWrap w:val="0"/>
            <w:vAlign w:val="center"/>
          </w:tcPr>
          <w:p w14:paraId="39EFFEE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7C2B9C8">
            <w:pPr>
              <w:pStyle w:val="2"/>
              <w:spacing w:line="0" w:lineRule="atLeast"/>
              <w:ind w:firstLine="416"/>
              <w:rPr>
                <w:rFonts w:ascii="仿宋" w:hAnsi="仿宋" w:eastAsia="仿宋" w:cs="仿宋"/>
                <w:bCs/>
                <w:spacing w:val="-16"/>
                <w:kern w:val="0"/>
                <w:sz w:val="24"/>
                <w:szCs w:val="24"/>
              </w:rPr>
            </w:pPr>
            <w:r>
              <w:rPr>
                <w:rFonts w:hint="eastAsia" w:ascii="仿宋" w:hAnsi="仿宋" w:eastAsia="仿宋" w:cs="仿宋"/>
                <w:bCs/>
                <w:spacing w:val="-16"/>
                <w:kern w:val="0"/>
                <w:sz w:val="24"/>
                <w:szCs w:val="24"/>
              </w:rPr>
              <w:t>开发区应加强管理，严格落实规划环评及企业环评提出的风险防范措施，结合开发区突发环境事件应急预案，进一步指导开发区风险污染防控。</w:t>
            </w:r>
          </w:p>
        </w:tc>
      </w:tr>
      <w:tr w14:paraId="382E5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F4009C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E4224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C99BE6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DCA1A7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6ACC9B3">
            <w:pPr>
              <w:widowControl/>
              <w:spacing w:line="0" w:lineRule="atLeast"/>
              <w:jc w:val="center"/>
              <w:rPr>
                <w:rFonts w:ascii="仿宋" w:hAnsi="仿宋" w:eastAsia="仿宋" w:cs="仿宋"/>
                <w:bCs/>
                <w:spacing w:val="-10"/>
                <w:kern w:val="0"/>
                <w:sz w:val="24"/>
              </w:rPr>
            </w:pPr>
          </w:p>
        </w:tc>
        <w:tc>
          <w:tcPr>
            <w:tcW w:w="850" w:type="dxa"/>
            <w:noWrap w:val="0"/>
            <w:vAlign w:val="center"/>
          </w:tcPr>
          <w:p w14:paraId="433495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53B7EE9">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地下水开发利用应当以浅层地下水为主。深层地下水作为战略储备水源、应急供水水源、无替代水源地区的居民生活水源，应当严格限制开采。</w:t>
            </w:r>
          </w:p>
        </w:tc>
      </w:tr>
      <w:tr w14:paraId="09D2B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56" w:hRule="atLeast"/>
          <w:jc w:val="center"/>
        </w:trPr>
        <w:tc>
          <w:tcPr>
            <w:tcW w:w="595" w:type="dxa"/>
            <w:vMerge w:val="restart"/>
            <w:noWrap w:val="0"/>
            <w:vAlign w:val="center"/>
          </w:tcPr>
          <w:p w14:paraId="10C8C6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ZH13043420136</w:t>
            </w:r>
          </w:p>
        </w:tc>
        <w:tc>
          <w:tcPr>
            <w:tcW w:w="567" w:type="dxa"/>
            <w:vMerge w:val="restart"/>
            <w:noWrap w:val="0"/>
            <w:vAlign w:val="center"/>
          </w:tcPr>
          <w:p w14:paraId="4547EEE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54B5861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回隆镇</w:t>
            </w:r>
          </w:p>
        </w:tc>
        <w:tc>
          <w:tcPr>
            <w:tcW w:w="709" w:type="dxa"/>
            <w:vMerge w:val="restart"/>
            <w:noWrap w:val="0"/>
            <w:vAlign w:val="center"/>
          </w:tcPr>
          <w:p w14:paraId="49E069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77D5D7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大气环境受体敏感重点管控区、水环境城镇生活重点管控区、地下水开采重点管控区</w:t>
            </w:r>
          </w:p>
        </w:tc>
        <w:tc>
          <w:tcPr>
            <w:tcW w:w="850" w:type="dxa"/>
            <w:noWrap w:val="0"/>
            <w:vAlign w:val="center"/>
          </w:tcPr>
          <w:p w14:paraId="4EDE9BA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E21F0F7">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提高VOCs排放重点行业环保准入门槛，严格控制新增污染物排放量。新建涉VOCs排放的工业企业要入园区。2.禁止建设生产和使用高VOCs含量的溶剂型涂料、油墨、胶粘剂等项目。3.严格地下水管理，地下水禁采区和地下水限采区内按照《河北省人民政府关于公布地下水超采区和禁止开采区、限制开采区范围的通知》（冀政字〔2022〕59号）要求执行。</w:t>
            </w:r>
          </w:p>
        </w:tc>
      </w:tr>
      <w:tr w14:paraId="0956F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566A72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1FE5CC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F82D82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71D9CD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980726A">
            <w:pPr>
              <w:widowControl/>
              <w:spacing w:line="0" w:lineRule="atLeast"/>
              <w:jc w:val="center"/>
              <w:rPr>
                <w:rFonts w:ascii="仿宋" w:hAnsi="仿宋" w:eastAsia="仿宋" w:cs="仿宋"/>
                <w:bCs/>
                <w:spacing w:val="-10"/>
                <w:kern w:val="0"/>
                <w:sz w:val="24"/>
              </w:rPr>
            </w:pPr>
          </w:p>
        </w:tc>
        <w:tc>
          <w:tcPr>
            <w:tcW w:w="850" w:type="dxa"/>
            <w:noWrap w:val="0"/>
            <w:vAlign w:val="center"/>
          </w:tcPr>
          <w:p w14:paraId="2EE07B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E25E85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全面加强原辅材料源头替代，从源头减少VOCs产生。涉VOCs重点企业全面执行《挥发性有机物无组织排放控制标准》(GB37822-2019)。选择适宜的废气治理工艺，对VOCs污染源进行有效处理。</w:t>
            </w:r>
          </w:p>
        </w:tc>
      </w:tr>
      <w:tr w14:paraId="3F752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22758F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5ADAFC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3C2110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23D3F2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CC275E7">
            <w:pPr>
              <w:widowControl/>
              <w:spacing w:line="0" w:lineRule="atLeast"/>
              <w:jc w:val="center"/>
              <w:rPr>
                <w:rFonts w:ascii="仿宋" w:hAnsi="仿宋" w:eastAsia="仿宋" w:cs="仿宋"/>
                <w:bCs/>
                <w:spacing w:val="-10"/>
                <w:kern w:val="0"/>
                <w:sz w:val="24"/>
              </w:rPr>
            </w:pPr>
          </w:p>
        </w:tc>
        <w:tc>
          <w:tcPr>
            <w:tcW w:w="850" w:type="dxa"/>
            <w:noWrap w:val="0"/>
            <w:vAlign w:val="center"/>
          </w:tcPr>
          <w:p w14:paraId="3419E45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034062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67BA6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978B0F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85BA67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420060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62E69A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C55074D">
            <w:pPr>
              <w:widowControl/>
              <w:spacing w:line="0" w:lineRule="atLeast"/>
              <w:jc w:val="center"/>
              <w:rPr>
                <w:rFonts w:ascii="仿宋" w:hAnsi="仿宋" w:eastAsia="仿宋" w:cs="仿宋"/>
                <w:bCs/>
                <w:spacing w:val="-10"/>
                <w:kern w:val="0"/>
                <w:sz w:val="24"/>
              </w:rPr>
            </w:pPr>
          </w:p>
        </w:tc>
        <w:tc>
          <w:tcPr>
            <w:tcW w:w="850" w:type="dxa"/>
            <w:noWrap w:val="0"/>
            <w:vAlign w:val="center"/>
          </w:tcPr>
          <w:p w14:paraId="76A912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4B739E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0E4A1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4C26DB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ZH13043420137</w:t>
            </w:r>
          </w:p>
        </w:tc>
        <w:tc>
          <w:tcPr>
            <w:tcW w:w="567" w:type="dxa"/>
            <w:vMerge w:val="restart"/>
            <w:noWrap w:val="0"/>
            <w:vAlign w:val="center"/>
          </w:tcPr>
          <w:p w14:paraId="30C4E8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35D4B0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双井镇</w:t>
            </w:r>
          </w:p>
        </w:tc>
        <w:tc>
          <w:tcPr>
            <w:tcW w:w="709" w:type="dxa"/>
            <w:vMerge w:val="restart"/>
            <w:noWrap w:val="0"/>
            <w:vAlign w:val="center"/>
          </w:tcPr>
          <w:p w14:paraId="16D3C9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2C5072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大气环境受体敏感重点管控区、水环境城镇生活重点管控区、地下水开采重点管控区</w:t>
            </w:r>
          </w:p>
        </w:tc>
        <w:tc>
          <w:tcPr>
            <w:tcW w:w="850" w:type="dxa"/>
            <w:noWrap w:val="0"/>
            <w:vAlign w:val="center"/>
          </w:tcPr>
          <w:p w14:paraId="128F5F7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66398F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河北省大运河文化保护传承利用实施规划-生态环境保护修复专项规划》《河北省大运河文化保护传承利用生态环境保护修复专项规划实施方案》中相应要求。2.严格地下水管理，地下水禁采区和地下水限采区内按照《河北省人民政府关于公布地下水超采区和禁止开采区、限制开采区范围的通知》（冀政字〔2022〕59号）要求执行。</w:t>
            </w:r>
          </w:p>
        </w:tc>
      </w:tr>
      <w:tr w14:paraId="29952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00A440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A13163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2E3F94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0DE72E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133B8C0">
            <w:pPr>
              <w:widowControl/>
              <w:spacing w:line="0" w:lineRule="atLeast"/>
              <w:jc w:val="center"/>
              <w:rPr>
                <w:rFonts w:ascii="仿宋" w:hAnsi="仿宋" w:eastAsia="仿宋" w:cs="仿宋"/>
                <w:bCs/>
                <w:spacing w:val="-10"/>
                <w:kern w:val="0"/>
                <w:sz w:val="24"/>
              </w:rPr>
            </w:pPr>
          </w:p>
        </w:tc>
        <w:tc>
          <w:tcPr>
            <w:tcW w:w="850" w:type="dxa"/>
            <w:noWrap w:val="0"/>
            <w:vAlign w:val="center"/>
          </w:tcPr>
          <w:p w14:paraId="4447612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F85B17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大气及水体污染物排放标准满足最新的环保要求及地方标准。其中工业炉窑污染物排放满足《工业炉窑大气污染物排放标准》(DB13/1640-2012)和《关于印发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4DD87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7E17A1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0866B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AD4C5D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EFC16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2FDB76A">
            <w:pPr>
              <w:widowControl/>
              <w:spacing w:line="0" w:lineRule="atLeast"/>
              <w:jc w:val="center"/>
              <w:rPr>
                <w:rFonts w:ascii="仿宋" w:hAnsi="仿宋" w:eastAsia="仿宋" w:cs="仿宋"/>
                <w:bCs/>
                <w:spacing w:val="-10"/>
                <w:kern w:val="0"/>
                <w:sz w:val="24"/>
              </w:rPr>
            </w:pPr>
          </w:p>
        </w:tc>
        <w:tc>
          <w:tcPr>
            <w:tcW w:w="850" w:type="dxa"/>
            <w:noWrap w:val="0"/>
            <w:vAlign w:val="center"/>
          </w:tcPr>
          <w:p w14:paraId="474F92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73E67B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ADA9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00DB8D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4A6CB2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CE7F00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3378DA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907FC08">
            <w:pPr>
              <w:widowControl/>
              <w:spacing w:line="0" w:lineRule="atLeast"/>
              <w:jc w:val="center"/>
              <w:rPr>
                <w:rFonts w:ascii="仿宋" w:hAnsi="仿宋" w:eastAsia="仿宋" w:cs="仿宋"/>
                <w:bCs/>
                <w:spacing w:val="-10"/>
                <w:kern w:val="0"/>
                <w:sz w:val="24"/>
              </w:rPr>
            </w:pPr>
          </w:p>
        </w:tc>
        <w:tc>
          <w:tcPr>
            <w:tcW w:w="850" w:type="dxa"/>
            <w:noWrap w:val="0"/>
            <w:vAlign w:val="center"/>
          </w:tcPr>
          <w:p w14:paraId="3E34EAB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C6C5A1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187EE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598DAA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ZH13043420138</w:t>
            </w:r>
          </w:p>
        </w:tc>
        <w:tc>
          <w:tcPr>
            <w:tcW w:w="567" w:type="dxa"/>
            <w:vMerge w:val="restart"/>
            <w:noWrap w:val="0"/>
            <w:vAlign w:val="center"/>
          </w:tcPr>
          <w:p w14:paraId="693A9C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4814A7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魏城镇、德政镇、东代固镇、仕望集镇</w:t>
            </w:r>
          </w:p>
        </w:tc>
        <w:tc>
          <w:tcPr>
            <w:tcW w:w="709" w:type="dxa"/>
            <w:vMerge w:val="restart"/>
            <w:noWrap w:val="0"/>
            <w:vAlign w:val="center"/>
          </w:tcPr>
          <w:p w14:paraId="1414F2C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30E760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大气环境受体敏感重点管控区、水环境城镇生活重点管控区、地下水开采重点管控区</w:t>
            </w:r>
          </w:p>
        </w:tc>
        <w:tc>
          <w:tcPr>
            <w:tcW w:w="850" w:type="dxa"/>
            <w:noWrap w:val="0"/>
            <w:vAlign w:val="center"/>
          </w:tcPr>
          <w:p w14:paraId="5568818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D330BEB">
            <w:pPr>
              <w:widowControl/>
              <w:spacing w:line="0" w:lineRule="atLeast"/>
              <w:ind w:firstLine="440" w:firstLineChars="200"/>
              <w:rPr>
                <w:rFonts w:ascii="仿宋" w:hAnsi="仿宋" w:eastAsia="仿宋" w:cs="仿宋"/>
                <w:spacing w:val="-10"/>
                <w:sz w:val="24"/>
              </w:rPr>
            </w:pPr>
            <w:r>
              <w:rPr>
                <w:rFonts w:hint="eastAsia" w:ascii="仿宋" w:hAnsi="仿宋" w:eastAsia="仿宋" w:cs="仿宋"/>
                <w:bCs/>
                <w:spacing w:val="-10"/>
                <w:kern w:val="0"/>
                <w:sz w:val="24"/>
              </w:rPr>
              <w:t>1.提高VOCs排放重点行业环保准入门槛，严格控制新增污染物排放量。新建涉VOCs排放的工业企业要入园区。2.禁止建设生产和使用高VOCs含量的溶剂型涂料、油墨、胶粘剂等项目。3.满足《河北省大运河文化保护传承利用实施规划-生态环境保护修复专项规划》《河北省大运河文化保护传承利用生态环境保护修复专项规划实施方案》中相应要求。4.严格地下水管理，地下水禁采区和地下水限采区内按照《河北省人民政府关于公布地下水超采区和禁止开采区、限制开采区范围的通知》（冀政字〔2022〕59号）要求执行。</w:t>
            </w:r>
          </w:p>
        </w:tc>
      </w:tr>
      <w:tr w14:paraId="15438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F3956E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1A4F9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F30DAE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FA8659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E4025A7">
            <w:pPr>
              <w:widowControl/>
              <w:spacing w:line="0" w:lineRule="atLeast"/>
              <w:jc w:val="center"/>
              <w:rPr>
                <w:rFonts w:ascii="仿宋" w:hAnsi="仿宋" w:eastAsia="仿宋" w:cs="仿宋"/>
                <w:bCs/>
                <w:spacing w:val="-10"/>
                <w:kern w:val="0"/>
                <w:sz w:val="24"/>
              </w:rPr>
            </w:pPr>
          </w:p>
        </w:tc>
        <w:tc>
          <w:tcPr>
            <w:tcW w:w="850" w:type="dxa"/>
            <w:noWrap w:val="0"/>
            <w:vAlign w:val="center"/>
          </w:tcPr>
          <w:p w14:paraId="5E36091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6998175">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1.淘汰集中供热管网覆盖范围内的散煤。2.印刷工业污染物排放满足《工业企业挥发性有机物排放控制标准》(DB13/2322-2016)和《挥发性有机物无组织排放控制标准》(GB37822-2019)中相应排放限值要求。3.印刷工业污染防治措施按照《印刷工业污染防治可行技术指南》(HJ1089-2020)和《关于印发&lt;河北省重点行业挥发性有机物污染控制技术指引&gt;》(冀环大气〔2019〕501号)中要求执行。4.全面加强原辅材料源头替代，从源头减少VOCs产生。涉VOCs重点企业全面执行《挥发性有机物无组织排放控制标准》(GB37822-2019)。选择适宜的废气治理工艺，对VOCs污染源进行有效处理。</w:t>
            </w:r>
          </w:p>
        </w:tc>
      </w:tr>
      <w:tr w14:paraId="02737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0DE81F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EFC859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6E9BEF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21CDC2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D5D05C8">
            <w:pPr>
              <w:widowControl/>
              <w:spacing w:line="0" w:lineRule="atLeast"/>
              <w:jc w:val="center"/>
              <w:rPr>
                <w:rFonts w:ascii="仿宋" w:hAnsi="仿宋" w:eastAsia="仿宋" w:cs="仿宋"/>
                <w:bCs/>
                <w:spacing w:val="-10"/>
                <w:kern w:val="0"/>
                <w:sz w:val="24"/>
              </w:rPr>
            </w:pPr>
          </w:p>
        </w:tc>
        <w:tc>
          <w:tcPr>
            <w:tcW w:w="850" w:type="dxa"/>
            <w:noWrap w:val="0"/>
            <w:vAlign w:val="center"/>
          </w:tcPr>
          <w:p w14:paraId="710BE8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E50F26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676B4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AF0E2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BAFDBF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713C63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02BBF0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075FD4A">
            <w:pPr>
              <w:widowControl/>
              <w:spacing w:line="0" w:lineRule="atLeast"/>
              <w:jc w:val="center"/>
              <w:rPr>
                <w:rFonts w:ascii="仿宋" w:hAnsi="仿宋" w:eastAsia="仿宋" w:cs="仿宋"/>
                <w:bCs/>
                <w:spacing w:val="-10"/>
                <w:kern w:val="0"/>
                <w:sz w:val="24"/>
              </w:rPr>
            </w:pPr>
          </w:p>
        </w:tc>
        <w:tc>
          <w:tcPr>
            <w:tcW w:w="850" w:type="dxa"/>
            <w:noWrap w:val="0"/>
            <w:vAlign w:val="center"/>
          </w:tcPr>
          <w:p w14:paraId="5DCD9F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688236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626F1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06A76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ZH13043420139</w:t>
            </w:r>
          </w:p>
        </w:tc>
        <w:tc>
          <w:tcPr>
            <w:tcW w:w="567" w:type="dxa"/>
            <w:vMerge w:val="restart"/>
            <w:noWrap w:val="0"/>
            <w:vAlign w:val="center"/>
          </w:tcPr>
          <w:p w14:paraId="685378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4250D66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张二庄镇</w:t>
            </w:r>
          </w:p>
        </w:tc>
        <w:tc>
          <w:tcPr>
            <w:tcW w:w="709" w:type="dxa"/>
            <w:vMerge w:val="restart"/>
            <w:noWrap w:val="0"/>
            <w:vAlign w:val="center"/>
          </w:tcPr>
          <w:p w14:paraId="79DE70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82009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大气环境高排放重点管控区、水环境工业污染重点管控区、魏县张二庄镇循环经济产业园区</w:t>
            </w:r>
          </w:p>
        </w:tc>
        <w:tc>
          <w:tcPr>
            <w:tcW w:w="850" w:type="dxa"/>
            <w:noWrap w:val="0"/>
            <w:vAlign w:val="center"/>
          </w:tcPr>
          <w:p w14:paraId="7E1018F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D4D2B2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禁止建设《产业结构调整指导目录(2019年本)》中禁止类项目及设备(如砖瓦轮窑以及立窑、无顶轮窑、马蹄窑等土窑、普通挤砖机等）。2.满足《河北省大运河文化保护传承利用实施规划-生态环境保护修复专项规划》《河北省大运河文化保护传承利用生态环境保护修复专项规划实施方案》中相应要求。</w:t>
            </w:r>
          </w:p>
        </w:tc>
      </w:tr>
      <w:tr w14:paraId="601A5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4CEC6B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B5549A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B70C04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B4D1C5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CCD442A">
            <w:pPr>
              <w:widowControl/>
              <w:spacing w:line="0" w:lineRule="atLeast"/>
              <w:jc w:val="center"/>
              <w:rPr>
                <w:rFonts w:ascii="仿宋" w:hAnsi="仿宋" w:eastAsia="仿宋" w:cs="仿宋"/>
                <w:bCs/>
                <w:spacing w:val="-10"/>
                <w:kern w:val="0"/>
                <w:sz w:val="24"/>
              </w:rPr>
            </w:pPr>
          </w:p>
        </w:tc>
        <w:tc>
          <w:tcPr>
            <w:tcW w:w="850" w:type="dxa"/>
            <w:noWrap w:val="0"/>
            <w:vAlign w:val="center"/>
          </w:tcPr>
          <w:p w14:paraId="5E04C00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434E3A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砖瓦行业污染物排放满足《砖瓦工业大气污染物排放标准》（GB2962-2013）及修改单中相应排放限值要求。2.冲天炉、玻璃熔窑、以煤和煤矸石为燃料的砖瓦烧结窑、耐火材料焙烧窑(电窑除外)、炭素焙(煅)烧炉(窑)、石灰窑、和精炼炉等，原则上应纳入重点排污单位名录，安装自动监控设施。3.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4.全面加强原辅材料源头替代，从源头减少VOCs产生。涉VOCs重点企业全面执行《挥发性有机物无组织排放控制标准》(GB37822-2019)。选择适宜的废气治理工艺，对VOCs污染源进行有效处理。5.塑料加工等工序产生的有机废气等应执行《工业企业挥发性有机物排放控制标准》(DB13/2322-2016)、《合成树脂工业污染物排放标准》(GB31527-2015)、</w:t>
            </w:r>
          </w:p>
          <w:p w14:paraId="725B6E13">
            <w:pPr>
              <w:widowControl/>
              <w:spacing w:line="0" w:lineRule="atLeast"/>
              <w:rPr>
                <w:rFonts w:ascii="仿宋" w:hAnsi="仿宋" w:eastAsia="仿宋" w:cs="仿宋"/>
                <w:spacing w:val="-10"/>
                <w:kern w:val="0"/>
                <w:sz w:val="24"/>
              </w:rPr>
            </w:pPr>
            <w:r>
              <w:rPr>
                <w:rFonts w:hint="eastAsia" w:ascii="仿宋" w:hAnsi="仿宋" w:eastAsia="仿宋" w:cs="仿宋"/>
                <w:bCs/>
                <w:spacing w:val="-10"/>
                <w:kern w:val="0"/>
                <w:sz w:val="24"/>
              </w:rPr>
              <w:t>《挥发性有机物无组织排放控制标准》(GB37822-2019)。6.锅炉废气执行《锅炉大气污染物排放标准》(DB13/5161-2020)标准要求。</w:t>
            </w:r>
          </w:p>
        </w:tc>
      </w:tr>
      <w:tr w14:paraId="6950C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69" w:hRule="atLeast"/>
          <w:jc w:val="center"/>
        </w:trPr>
        <w:tc>
          <w:tcPr>
            <w:tcW w:w="595" w:type="dxa"/>
            <w:vMerge w:val="continue"/>
            <w:noWrap w:val="0"/>
            <w:vAlign w:val="center"/>
          </w:tcPr>
          <w:p w14:paraId="7943766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4E1F2B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2F58A0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A33B04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BB86F6C">
            <w:pPr>
              <w:widowControl/>
              <w:spacing w:line="0" w:lineRule="atLeast"/>
              <w:jc w:val="center"/>
              <w:rPr>
                <w:rFonts w:ascii="仿宋" w:hAnsi="仿宋" w:eastAsia="仿宋" w:cs="仿宋"/>
                <w:bCs/>
                <w:spacing w:val="-10"/>
                <w:kern w:val="0"/>
                <w:sz w:val="24"/>
              </w:rPr>
            </w:pPr>
          </w:p>
        </w:tc>
        <w:tc>
          <w:tcPr>
            <w:tcW w:w="850" w:type="dxa"/>
            <w:noWrap w:val="0"/>
            <w:vAlign w:val="center"/>
          </w:tcPr>
          <w:p w14:paraId="6F64CE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D435E6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2541B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815CCB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7CD431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12C442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9414F7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FA6ADD8">
            <w:pPr>
              <w:widowControl/>
              <w:spacing w:line="0" w:lineRule="atLeast"/>
              <w:jc w:val="center"/>
              <w:rPr>
                <w:rFonts w:ascii="仿宋" w:hAnsi="仿宋" w:eastAsia="仿宋" w:cs="仿宋"/>
                <w:bCs/>
                <w:spacing w:val="-10"/>
                <w:kern w:val="0"/>
                <w:sz w:val="24"/>
              </w:rPr>
            </w:pPr>
          </w:p>
        </w:tc>
        <w:tc>
          <w:tcPr>
            <w:tcW w:w="850" w:type="dxa"/>
            <w:noWrap w:val="0"/>
            <w:vAlign w:val="center"/>
          </w:tcPr>
          <w:p w14:paraId="16E0B5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6618CD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地下水开发利用应当以浅层地下水为主。深层地下水作为战略储备水源、应急供水水源、无替代水源地区的居民生活水源，应当严格限制开采。</w:t>
            </w:r>
          </w:p>
        </w:tc>
      </w:tr>
      <w:tr w14:paraId="01A68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0833B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ZH13043420140</w:t>
            </w:r>
          </w:p>
        </w:tc>
        <w:tc>
          <w:tcPr>
            <w:tcW w:w="567" w:type="dxa"/>
            <w:vMerge w:val="restart"/>
            <w:noWrap w:val="0"/>
            <w:vAlign w:val="center"/>
          </w:tcPr>
          <w:p w14:paraId="7945FDC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32C72C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魏城镇、德政镇、北皋镇、双井镇、车往镇、东代固镇、院堡镇、南双庙镇、棘针寨镇、沙口集乡、野胡拐乡、仕望集镇、前大磨乡、大辛庄乡、北台头乡、泊口镇、南双庙镇</w:t>
            </w:r>
          </w:p>
        </w:tc>
        <w:tc>
          <w:tcPr>
            <w:tcW w:w="709" w:type="dxa"/>
            <w:vMerge w:val="restart"/>
            <w:noWrap w:val="0"/>
            <w:vAlign w:val="center"/>
          </w:tcPr>
          <w:p w14:paraId="7AE78B5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1185A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大气环境受体敏感重点管控区、地下水开采重点管控区</w:t>
            </w:r>
          </w:p>
        </w:tc>
        <w:tc>
          <w:tcPr>
            <w:tcW w:w="850" w:type="dxa"/>
            <w:noWrap w:val="0"/>
            <w:vAlign w:val="center"/>
          </w:tcPr>
          <w:p w14:paraId="5C024B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B79AF2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建设《产业结构调整指导目录(2019年本)》中禁止类项目及设备(如砖瓦轮窑以及立窑、无顶轮窑、马蹄窑等土窑、普通挤砖机等）。2.严格地下水管理，地下水禁采区和地下水限采区内按照《河北省人民政府关于公布地下水超采区和禁止开采区、限制开采区范围的通知》（冀政字〔2022〕59号）要求执行。3.项目建设应考虑对周边敏感区的环境影响。</w:t>
            </w:r>
          </w:p>
        </w:tc>
      </w:tr>
      <w:tr w14:paraId="56167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118EAE69">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1A2AD88F">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2E799D53">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77674D21">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248C88BD">
            <w:pPr>
              <w:widowControl/>
              <w:spacing w:line="0" w:lineRule="atLeast"/>
              <w:jc w:val="center"/>
              <w:rPr>
                <w:rFonts w:ascii="仿宋" w:hAnsi="仿宋" w:eastAsia="仿宋" w:cs="仿宋"/>
                <w:bCs/>
                <w:spacing w:val="-10"/>
                <w:kern w:val="0"/>
                <w:sz w:val="24"/>
              </w:rPr>
            </w:pPr>
          </w:p>
        </w:tc>
        <w:tc>
          <w:tcPr>
            <w:tcW w:w="850" w:type="dxa"/>
            <w:noWrap w:val="0"/>
            <w:vAlign w:val="center"/>
          </w:tcPr>
          <w:p w14:paraId="7218F57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841CAD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砖瓦行业污染物排放满足《砖瓦工业大气污染物排放标准》（GB2962-2013）及修改单中相应排放限值要求。3.冲天炉、玻璃熔窑、以煤和煤矸石为燃料的砖瓦烧结窑、耐火材料焙烧窑(电窑除外)、炭素焙(煅)烧炉(窑)、石灰窑、和精炼炉等，原则上应纳入重点排污单位名录，安装自动监控设施。4.对涉粉状物料十大行业按照“退后十”方案中相应要求管理。5.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6.全面加强原辅材料源头替代，从源头减少VOCs产生。涉VOCs重点企业全面执行《挥发性有机物无组织排放控制标准》(GB37822-2019)。选择适宜的废气治理工艺，对VOCs污染源进行有效处理。</w:t>
            </w:r>
          </w:p>
        </w:tc>
      </w:tr>
      <w:tr w14:paraId="1853E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479BDA70">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557D43A5">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54AB4DD6">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0702017E">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648EBBF9">
            <w:pPr>
              <w:widowControl/>
              <w:spacing w:line="0" w:lineRule="atLeast"/>
              <w:jc w:val="center"/>
              <w:rPr>
                <w:rFonts w:ascii="仿宋" w:hAnsi="仿宋" w:eastAsia="仿宋" w:cs="仿宋"/>
                <w:bCs/>
                <w:spacing w:val="-10"/>
                <w:kern w:val="0"/>
                <w:sz w:val="24"/>
              </w:rPr>
            </w:pPr>
          </w:p>
        </w:tc>
        <w:tc>
          <w:tcPr>
            <w:tcW w:w="850" w:type="dxa"/>
            <w:noWrap w:val="0"/>
            <w:vAlign w:val="center"/>
          </w:tcPr>
          <w:p w14:paraId="5C98048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B180E5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23980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4730C038">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7F8FEEA3">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5E9260A3">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23DFAEBB">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4BF34D6E">
            <w:pPr>
              <w:widowControl/>
              <w:spacing w:line="0" w:lineRule="atLeast"/>
              <w:jc w:val="center"/>
              <w:rPr>
                <w:rFonts w:ascii="仿宋" w:hAnsi="仿宋" w:eastAsia="仿宋" w:cs="仿宋"/>
                <w:bCs/>
                <w:spacing w:val="-10"/>
                <w:kern w:val="0"/>
                <w:sz w:val="24"/>
              </w:rPr>
            </w:pPr>
          </w:p>
        </w:tc>
        <w:tc>
          <w:tcPr>
            <w:tcW w:w="850" w:type="dxa"/>
            <w:noWrap w:val="0"/>
            <w:vAlign w:val="center"/>
          </w:tcPr>
          <w:p w14:paraId="657CAC0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64E1D6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地下水开发利用应当以浅层地下水为主。深层地下水作为战略储备水源、应急供水水源、无替代水源地区的居民生活水源，应当严格限制开采。</w:t>
            </w:r>
          </w:p>
        </w:tc>
      </w:tr>
      <w:tr w14:paraId="2DCAD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8AA92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ZH13043430139</w:t>
            </w:r>
          </w:p>
        </w:tc>
        <w:tc>
          <w:tcPr>
            <w:tcW w:w="567" w:type="dxa"/>
            <w:vMerge w:val="restart"/>
            <w:noWrap w:val="0"/>
            <w:vAlign w:val="center"/>
          </w:tcPr>
          <w:p w14:paraId="6C41036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魏县</w:t>
            </w:r>
          </w:p>
        </w:tc>
        <w:tc>
          <w:tcPr>
            <w:tcW w:w="1134" w:type="dxa"/>
            <w:vMerge w:val="restart"/>
            <w:noWrap w:val="0"/>
            <w:vAlign w:val="center"/>
          </w:tcPr>
          <w:p w14:paraId="4EB4D9A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魏城镇、德政镇、北皋镇、双井镇、车往镇、东代固镇、院堡镇、南双庙镇、棘针寨镇、沙口集乡、野胡拐乡、仕望集镇、前大磨乡、大辛庄乡、北台头乡、泊口镇、南双庙镇、牙里镇、回隆镇、张二庄镇、大马村乡、边马镇</w:t>
            </w:r>
          </w:p>
        </w:tc>
        <w:tc>
          <w:tcPr>
            <w:tcW w:w="709" w:type="dxa"/>
            <w:vMerge w:val="restart"/>
            <w:noWrap w:val="0"/>
            <w:vAlign w:val="center"/>
          </w:tcPr>
          <w:p w14:paraId="24FF5EC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2C89BB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65C883F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1600A4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1.禁止建设《产业结构调整指导目录(2019年本)》中禁止类项目及设备(如砖瓦轮窑以及立窑、无顶轮窑、马蹄窑等土窑、普通挤砖机等）。</w:t>
            </w:r>
          </w:p>
        </w:tc>
      </w:tr>
      <w:tr w14:paraId="4E964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4EBDB03A">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7371D9FB">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32FA99DA">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0B61F395">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44443567">
            <w:pPr>
              <w:widowControl/>
              <w:spacing w:line="0" w:lineRule="atLeast"/>
              <w:jc w:val="center"/>
              <w:rPr>
                <w:rFonts w:ascii="仿宋" w:hAnsi="仿宋" w:eastAsia="仿宋" w:cs="仿宋"/>
                <w:bCs/>
                <w:spacing w:val="-10"/>
                <w:kern w:val="0"/>
                <w:sz w:val="24"/>
              </w:rPr>
            </w:pPr>
          </w:p>
        </w:tc>
        <w:tc>
          <w:tcPr>
            <w:tcW w:w="850" w:type="dxa"/>
            <w:noWrap w:val="0"/>
            <w:vAlign w:val="center"/>
          </w:tcPr>
          <w:p w14:paraId="207EE5C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59100E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淘汰集中供热管网覆盖范围内的散煤。2.砖瓦行业污染物排放满足《砖瓦工业大气污染物排放标准》（GB2962-2013）及修改单中相应排放限值要求。3.冲天炉、玻璃熔窑、以煤和煤矸石为燃料的砖瓦烧结窑、耐火材料焙烧窑(电窑除外)、炭素焙(煅)烧炉(窑)、石灰窑、和精炼炉等，原则上应纳入重点排污单位名录，安装自动监控设施。4.对涉粉状物料十大行业按照“退后十”方案中相应要求管理。5.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6.全面加强原辅材料源头替代，从源头减少VOCs产生。涉VOCs重点企业全面执行《挥发性有机物无组织排放控制标准》(GB37822-2019)。选择适宜的废气治理工艺，对VOCs污染源进行有效处理。</w:t>
            </w:r>
          </w:p>
        </w:tc>
      </w:tr>
      <w:tr w14:paraId="3612C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77BB989B">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22BD2F00">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10248257">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0C724DF1">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1896C1C0">
            <w:pPr>
              <w:widowControl/>
              <w:spacing w:line="0" w:lineRule="atLeast"/>
              <w:jc w:val="center"/>
              <w:rPr>
                <w:rFonts w:ascii="仿宋" w:hAnsi="仿宋" w:eastAsia="仿宋" w:cs="仿宋"/>
                <w:bCs/>
                <w:spacing w:val="-10"/>
                <w:kern w:val="0"/>
                <w:sz w:val="24"/>
              </w:rPr>
            </w:pPr>
          </w:p>
        </w:tc>
        <w:tc>
          <w:tcPr>
            <w:tcW w:w="850" w:type="dxa"/>
            <w:noWrap w:val="0"/>
            <w:vAlign w:val="center"/>
          </w:tcPr>
          <w:p w14:paraId="5EA4C91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82A2BE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1BB6B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4B2FACA7">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4E2869EB">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7092A3D9">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012771EF">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3CBF2657">
            <w:pPr>
              <w:widowControl/>
              <w:spacing w:line="0" w:lineRule="atLeast"/>
              <w:jc w:val="center"/>
              <w:rPr>
                <w:rFonts w:ascii="仿宋" w:hAnsi="仿宋" w:eastAsia="仿宋" w:cs="仿宋"/>
                <w:bCs/>
                <w:spacing w:val="-10"/>
                <w:kern w:val="0"/>
                <w:sz w:val="24"/>
              </w:rPr>
            </w:pPr>
          </w:p>
        </w:tc>
        <w:tc>
          <w:tcPr>
            <w:tcW w:w="850" w:type="dxa"/>
            <w:noWrap w:val="0"/>
            <w:vAlign w:val="center"/>
          </w:tcPr>
          <w:p w14:paraId="5A3A148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73BF2C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w:t>
            </w:r>
          </w:p>
        </w:tc>
      </w:tr>
    </w:tbl>
    <w:p w14:paraId="7C590936">
      <w:pPr>
        <w:pStyle w:val="10"/>
        <w:numPr>
          <w:ilvl w:val="1"/>
          <w:numId w:val="0"/>
        </w:numPr>
        <w:spacing w:beforeLines="50"/>
        <w:ind w:firstLine="640" w:firstLineChars="200"/>
        <w:outlineLvl w:val="1"/>
        <w:rPr>
          <w:rFonts w:ascii="仿宋" w:hAnsi="仿宋" w:eastAsia="仿宋" w:cs="仿宋"/>
          <w:b/>
          <w:sz w:val="28"/>
          <w:szCs w:val="18"/>
        </w:rPr>
      </w:pPr>
      <w:r>
        <w:rPr>
          <w:rFonts w:hint="eastAsia" w:ascii="仿宋" w:hAnsi="仿宋" w:eastAsia="仿宋" w:cs="仿宋"/>
          <w:bCs/>
          <w:sz w:val="32"/>
          <w:szCs w:val="32"/>
        </w:rPr>
        <w:br w:type="page"/>
      </w:r>
      <w:r>
        <w:rPr>
          <w:rFonts w:hint="eastAsia" w:ascii="仿宋" w:hAnsi="仿宋" w:eastAsia="仿宋" w:cs="仿宋"/>
          <w:bCs/>
          <w:sz w:val="32"/>
          <w:szCs w:val="32"/>
        </w:rPr>
        <w:t>（十七）曲周县生态环境准入清单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0"/>
        <w:gridCol w:w="4195"/>
      </w:tblGrid>
      <w:tr w14:paraId="139B4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507FBBFA">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5AF4899A">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1E43A92B">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63564DF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57E86AC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1B543CE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531BB99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1E315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6B5DD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ZH13043510139</w:t>
            </w:r>
          </w:p>
        </w:tc>
        <w:tc>
          <w:tcPr>
            <w:tcW w:w="567" w:type="dxa"/>
            <w:vMerge w:val="restart"/>
            <w:noWrap w:val="0"/>
            <w:vAlign w:val="center"/>
          </w:tcPr>
          <w:p w14:paraId="52034F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7E5239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安寨镇、白寨镇、第四疃镇、侯村镇、南里岳乡、曲周镇</w:t>
            </w:r>
          </w:p>
        </w:tc>
        <w:tc>
          <w:tcPr>
            <w:tcW w:w="709" w:type="dxa"/>
            <w:vMerge w:val="restart"/>
            <w:noWrap w:val="0"/>
            <w:vAlign w:val="center"/>
          </w:tcPr>
          <w:p w14:paraId="11BD685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07D108D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850" w:type="dxa"/>
            <w:noWrap w:val="0"/>
            <w:vAlign w:val="center"/>
          </w:tcPr>
          <w:p w14:paraId="017194C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8DEB08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1.满足生态保护红线相关要求。2.满足《中华人民共和国河道管理条例》相关要求。</w:t>
            </w:r>
          </w:p>
        </w:tc>
      </w:tr>
      <w:tr w14:paraId="6722D8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85" w:hRule="atLeast"/>
          <w:jc w:val="center"/>
        </w:trPr>
        <w:tc>
          <w:tcPr>
            <w:tcW w:w="595" w:type="dxa"/>
            <w:vMerge w:val="continue"/>
            <w:noWrap w:val="0"/>
            <w:vAlign w:val="center"/>
          </w:tcPr>
          <w:p w14:paraId="61B6887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574842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C73180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076704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5201878">
            <w:pPr>
              <w:widowControl/>
              <w:spacing w:line="0" w:lineRule="atLeast"/>
              <w:jc w:val="center"/>
              <w:rPr>
                <w:rFonts w:ascii="仿宋" w:hAnsi="仿宋" w:eastAsia="仿宋" w:cs="仿宋"/>
                <w:bCs/>
                <w:spacing w:val="-10"/>
                <w:kern w:val="0"/>
                <w:sz w:val="24"/>
              </w:rPr>
            </w:pPr>
          </w:p>
        </w:tc>
        <w:tc>
          <w:tcPr>
            <w:tcW w:w="850" w:type="dxa"/>
            <w:noWrap w:val="0"/>
            <w:vAlign w:val="center"/>
          </w:tcPr>
          <w:p w14:paraId="11FAA6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EBEE94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满足《中华人民共和国水污染防治法》相关要求。</w:t>
            </w:r>
          </w:p>
        </w:tc>
      </w:tr>
      <w:tr w14:paraId="1F00D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0" w:hRule="atLeast"/>
          <w:jc w:val="center"/>
        </w:trPr>
        <w:tc>
          <w:tcPr>
            <w:tcW w:w="595" w:type="dxa"/>
            <w:vMerge w:val="continue"/>
            <w:noWrap w:val="0"/>
            <w:vAlign w:val="center"/>
          </w:tcPr>
          <w:p w14:paraId="6DD043A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1FF84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97786A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2FD7B5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AC3F99F">
            <w:pPr>
              <w:widowControl/>
              <w:spacing w:line="0" w:lineRule="atLeast"/>
              <w:jc w:val="center"/>
              <w:rPr>
                <w:rFonts w:ascii="仿宋" w:hAnsi="仿宋" w:eastAsia="仿宋" w:cs="仿宋"/>
                <w:bCs/>
                <w:spacing w:val="-10"/>
                <w:kern w:val="0"/>
                <w:sz w:val="24"/>
              </w:rPr>
            </w:pPr>
          </w:p>
        </w:tc>
        <w:tc>
          <w:tcPr>
            <w:tcW w:w="850" w:type="dxa"/>
            <w:noWrap w:val="0"/>
            <w:vAlign w:val="center"/>
          </w:tcPr>
          <w:p w14:paraId="75DB3B1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9EFBB5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67405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D095D2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5519BF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13B7F6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3B00D9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20781DD">
            <w:pPr>
              <w:widowControl/>
              <w:spacing w:line="0" w:lineRule="atLeast"/>
              <w:jc w:val="center"/>
              <w:rPr>
                <w:rFonts w:ascii="仿宋" w:hAnsi="仿宋" w:eastAsia="仿宋" w:cs="仿宋"/>
                <w:bCs/>
                <w:spacing w:val="-10"/>
                <w:kern w:val="0"/>
                <w:sz w:val="24"/>
              </w:rPr>
            </w:pPr>
          </w:p>
        </w:tc>
        <w:tc>
          <w:tcPr>
            <w:tcW w:w="850" w:type="dxa"/>
            <w:noWrap w:val="0"/>
            <w:vAlign w:val="center"/>
          </w:tcPr>
          <w:p w14:paraId="1591892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1C40A9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3A092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44249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ZH13043510140</w:t>
            </w:r>
          </w:p>
        </w:tc>
        <w:tc>
          <w:tcPr>
            <w:tcW w:w="567" w:type="dxa"/>
            <w:vMerge w:val="restart"/>
            <w:noWrap w:val="0"/>
            <w:vAlign w:val="center"/>
          </w:tcPr>
          <w:p w14:paraId="631F057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539679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安寨镇、白寨镇、大河道乡、第四疃镇、河南疃镇、曲周镇</w:t>
            </w:r>
          </w:p>
        </w:tc>
        <w:tc>
          <w:tcPr>
            <w:tcW w:w="709" w:type="dxa"/>
            <w:vMerge w:val="restart"/>
            <w:noWrap w:val="0"/>
            <w:vAlign w:val="center"/>
          </w:tcPr>
          <w:p w14:paraId="05B9D32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4CEB6A3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引黄入冀补淀</w:t>
            </w:r>
          </w:p>
        </w:tc>
        <w:tc>
          <w:tcPr>
            <w:tcW w:w="850" w:type="dxa"/>
            <w:noWrap w:val="0"/>
            <w:vAlign w:val="center"/>
          </w:tcPr>
          <w:p w14:paraId="77B28E8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C72FD6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w:t>
            </w:r>
          </w:p>
        </w:tc>
      </w:tr>
      <w:tr w14:paraId="78DF8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000662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93C343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BCBDE0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7AA657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EAA82E9">
            <w:pPr>
              <w:widowControl/>
              <w:spacing w:line="0" w:lineRule="atLeast"/>
              <w:jc w:val="center"/>
              <w:rPr>
                <w:rFonts w:ascii="仿宋" w:hAnsi="仿宋" w:eastAsia="仿宋" w:cs="仿宋"/>
                <w:bCs/>
                <w:spacing w:val="-10"/>
                <w:kern w:val="0"/>
                <w:sz w:val="24"/>
              </w:rPr>
            </w:pPr>
          </w:p>
        </w:tc>
        <w:tc>
          <w:tcPr>
            <w:tcW w:w="850" w:type="dxa"/>
            <w:noWrap w:val="0"/>
            <w:vAlign w:val="center"/>
          </w:tcPr>
          <w:p w14:paraId="3AB28D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9EBD73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5413E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E3B0C6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85E95B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D5690E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983EF4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DFE8080">
            <w:pPr>
              <w:widowControl/>
              <w:spacing w:line="0" w:lineRule="atLeast"/>
              <w:jc w:val="center"/>
              <w:rPr>
                <w:rFonts w:ascii="仿宋" w:hAnsi="仿宋" w:eastAsia="仿宋" w:cs="仿宋"/>
                <w:bCs/>
                <w:spacing w:val="-10"/>
                <w:kern w:val="0"/>
                <w:sz w:val="24"/>
              </w:rPr>
            </w:pPr>
          </w:p>
        </w:tc>
        <w:tc>
          <w:tcPr>
            <w:tcW w:w="850" w:type="dxa"/>
            <w:noWrap w:val="0"/>
            <w:vAlign w:val="center"/>
          </w:tcPr>
          <w:p w14:paraId="63FDBE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A4A615B">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78F952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B18E10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B262E6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D83FCC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BB0FA5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B0D2176">
            <w:pPr>
              <w:widowControl/>
              <w:spacing w:line="0" w:lineRule="atLeast"/>
              <w:jc w:val="center"/>
              <w:rPr>
                <w:rFonts w:ascii="仿宋" w:hAnsi="仿宋" w:eastAsia="仿宋" w:cs="仿宋"/>
                <w:bCs/>
                <w:spacing w:val="-10"/>
                <w:kern w:val="0"/>
                <w:sz w:val="24"/>
              </w:rPr>
            </w:pPr>
          </w:p>
        </w:tc>
        <w:tc>
          <w:tcPr>
            <w:tcW w:w="850" w:type="dxa"/>
            <w:noWrap w:val="0"/>
            <w:vAlign w:val="center"/>
          </w:tcPr>
          <w:p w14:paraId="1C01EB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135D24E">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ECF2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A4667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ZH13043510141</w:t>
            </w:r>
          </w:p>
        </w:tc>
        <w:tc>
          <w:tcPr>
            <w:tcW w:w="567" w:type="dxa"/>
            <w:vMerge w:val="restart"/>
            <w:noWrap w:val="0"/>
            <w:vAlign w:val="center"/>
          </w:tcPr>
          <w:p w14:paraId="2F6F36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3E5D80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曲周镇、河南疃镇、第四疃镇、白寨镇</w:t>
            </w:r>
          </w:p>
        </w:tc>
        <w:tc>
          <w:tcPr>
            <w:tcW w:w="709" w:type="dxa"/>
            <w:vMerge w:val="restart"/>
            <w:noWrap w:val="0"/>
            <w:vAlign w:val="center"/>
          </w:tcPr>
          <w:p w14:paraId="3FA9988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4751EA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59B925B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332E62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33A11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1" w:hRule="atLeast"/>
          <w:jc w:val="center"/>
        </w:trPr>
        <w:tc>
          <w:tcPr>
            <w:tcW w:w="595" w:type="dxa"/>
            <w:vMerge w:val="continue"/>
            <w:noWrap w:val="0"/>
            <w:vAlign w:val="center"/>
          </w:tcPr>
          <w:p w14:paraId="49494AC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47BA01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214F57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807FB7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64C4815">
            <w:pPr>
              <w:widowControl/>
              <w:spacing w:line="0" w:lineRule="atLeast"/>
              <w:jc w:val="center"/>
              <w:rPr>
                <w:rFonts w:ascii="仿宋" w:hAnsi="仿宋" w:eastAsia="仿宋" w:cs="仿宋"/>
                <w:bCs/>
                <w:spacing w:val="-10"/>
                <w:kern w:val="0"/>
                <w:sz w:val="24"/>
              </w:rPr>
            </w:pPr>
          </w:p>
        </w:tc>
        <w:tc>
          <w:tcPr>
            <w:tcW w:w="850" w:type="dxa"/>
            <w:noWrap w:val="0"/>
            <w:vAlign w:val="center"/>
          </w:tcPr>
          <w:p w14:paraId="7D82C4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6741D0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34EEF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C571DC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8C4CCE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C4BD80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35CC17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3661516">
            <w:pPr>
              <w:widowControl/>
              <w:spacing w:line="0" w:lineRule="atLeast"/>
              <w:jc w:val="center"/>
              <w:rPr>
                <w:rFonts w:ascii="仿宋" w:hAnsi="仿宋" w:eastAsia="仿宋" w:cs="仿宋"/>
                <w:bCs/>
                <w:spacing w:val="-10"/>
                <w:kern w:val="0"/>
                <w:sz w:val="24"/>
              </w:rPr>
            </w:pPr>
          </w:p>
        </w:tc>
        <w:tc>
          <w:tcPr>
            <w:tcW w:w="850" w:type="dxa"/>
            <w:noWrap w:val="0"/>
            <w:vAlign w:val="center"/>
          </w:tcPr>
          <w:p w14:paraId="4B0AAE8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F8729A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53794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485B05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1E80A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966F91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7BD48F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55AAD5D">
            <w:pPr>
              <w:widowControl/>
              <w:spacing w:line="0" w:lineRule="atLeast"/>
              <w:jc w:val="center"/>
              <w:rPr>
                <w:rFonts w:ascii="仿宋" w:hAnsi="仿宋" w:eastAsia="仿宋" w:cs="仿宋"/>
                <w:bCs/>
                <w:spacing w:val="-10"/>
                <w:kern w:val="0"/>
                <w:sz w:val="24"/>
              </w:rPr>
            </w:pPr>
          </w:p>
        </w:tc>
        <w:tc>
          <w:tcPr>
            <w:tcW w:w="850" w:type="dxa"/>
            <w:noWrap w:val="0"/>
            <w:vAlign w:val="center"/>
          </w:tcPr>
          <w:p w14:paraId="23284D8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3BDA20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5E5F0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48" w:hRule="atLeast"/>
          <w:jc w:val="center"/>
        </w:trPr>
        <w:tc>
          <w:tcPr>
            <w:tcW w:w="595" w:type="dxa"/>
            <w:vMerge w:val="restart"/>
            <w:noWrap w:val="0"/>
            <w:vAlign w:val="center"/>
          </w:tcPr>
          <w:p w14:paraId="5A4B41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ZH13043520142</w:t>
            </w:r>
          </w:p>
        </w:tc>
        <w:tc>
          <w:tcPr>
            <w:tcW w:w="567" w:type="dxa"/>
            <w:vMerge w:val="restart"/>
            <w:noWrap w:val="0"/>
            <w:vAlign w:val="center"/>
          </w:tcPr>
          <w:p w14:paraId="7EADB0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20FDAD0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河南疃镇</w:t>
            </w:r>
          </w:p>
        </w:tc>
        <w:tc>
          <w:tcPr>
            <w:tcW w:w="709" w:type="dxa"/>
            <w:vMerge w:val="restart"/>
            <w:noWrap w:val="0"/>
            <w:vAlign w:val="center"/>
          </w:tcPr>
          <w:p w14:paraId="39F706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C26247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 xml:space="preserve">大气环境高排放重点管控区、水环境工业污染重点管控区、曲周经济开发区北区、地下水开采重点管控区 </w:t>
            </w:r>
          </w:p>
        </w:tc>
        <w:tc>
          <w:tcPr>
            <w:tcW w:w="850" w:type="dxa"/>
            <w:noWrap w:val="0"/>
            <w:vAlign w:val="center"/>
          </w:tcPr>
          <w:p w14:paraId="6DB187C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3432D0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1.下列项目禁止入区：单独开采地下水的建设项目；污染严重，破坏自然生态损害人体健康又无治理技术或难治理的产业；不符合各区产业规划的项目。2.禁止新建《产业结构调整指导目录(2019 年本)》中限制类、淘汰类项目、新建利用纯氨制冷技术的冷库项目。</w:t>
            </w:r>
          </w:p>
        </w:tc>
      </w:tr>
      <w:tr w14:paraId="542C0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7FA74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5A71E3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23C244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32A33B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6DB5573">
            <w:pPr>
              <w:widowControl/>
              <w:spacing w:line="0" w:lineRule="atLeast"/>
              <w:jc w:val="center"/>
              <w:rPr>
                <w:rFonts w:ascii="仿宋" w:hAnsi="仿宋" w:eastAsia="仿宋" w:cs="仿宋"/>
                <w:bCs/>
                <w:spacing w:val="-10"/>
                <w:kern w:val="0"/>
                <w:sz w:val="24"/>
              </w:rPr>
            </w:pPr>
          </w:p>
        </w:tc>
        <w:tc>
          <w:tcPr>
            <w:tcW w:w="850" w:type="dxa"/>
            <w:noWrap w:val="0"/>
            <w:vAlign w:val="center"/>
          </w:tcPr>
          <w:p w14:paraId="1916A4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B87D09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开发区内锅炉污染物排放满足《锅炉大气污染物排放标准》（DB13/5161-2020）相应排放限值要求。工业炉窑污染物排放满足《工业炉窑大气污染物排放标准》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0C82E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61" w:hRule="atLeast"/>
          <w:jc w:val="center"/>
        </w:trPr>
        <w:tc>
          <w:tcPr>
            <w:tcW w:w="595" w:type="dxa"/>
            <w:vMerge w:val="continue"/>
            <w:noWrap w:val="0"/>
            <w:vAlign w:val="center"/>
          </w:tcPr>
          <w:p w14:paraId="55ED069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D4D7BA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828DD1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F754A6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60E8BB9">
            <w:pPr>
              <w:widowControl/>
              <w:spacing w:line="0" w:lineRule="atLeast"/>
              <w:jc w:val="center"/>
              <w:rPr>
                <w:rFonts w:ascii="仿宋" w:hAnsi="仿宋" w:eastAsia="仿宋" w:cs="仿宋"/>
                <w:bCs/>
                <w:spacing w:val="-10"/>
                <w:kern w:val="0"/>
                <w:sz w:val="24"/>
              </w:rPr>
            </w:pPr>
          </w:p>
        </w:tc>
        <w:tc>
          <w:tcPr>
            <w:tcW w:w="850" w:type="dxa"/>
            <w:noWrap w:val="0"/>
            <w:vAlign w:val="center"/>
          </w:tcPr>
          <w:p w14:paraId="5DE712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943FBD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71821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F51E0D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FFFFB5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9FEE46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58C613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F15B339">
            <w:pPr>
              <w:widowControl/>
              <w:spacing w:line="0" w:lineRule="atLeast"/>
              <w:jc w:val="center"/>
              <w:rPr>
                <w:rFonts w:ascii="仿宋" w:hAnsi="仿宋" w:eastAsia="仿宋" w:cs="仿宋"/>
                <w:bCs/>
                <w:spacing w:val="-10"/>
                <w:kern w:val="0"/>
                <w:sz w:val="24"/>
              </w:rPr>
            </w:pPr>
          </w:p>
        </w:tc>
        <w:tc>
          <w:tcPr>
            <w:tcW w:w="850" w:type="dxa"/>
            <w:noWrap w:val="0"/>
            <w:vAlign w:val="center"/>
          </w:tcPr>
          <w:p w14:paraId="1682373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794532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1.2030年单位工业用地工业增加值15.6亿元/平方公里、单位工业增加值综合能耗≤0.131吨标准煤/万元、单位工业增加值新鲜水耗≤2.95立方米/万元、再生水回用率≥84%、土地投资强度≥200万元/亩。2.地下水开发利用应当以浅层地下水为主。深层地下水作为战略储备水源、应急供水水源、无替代水源地区的居民生活水源，应当严格限制开采。</w:t>
            </w:r>
          </w:p>
        </w:tc>
      </w:tr>
      <w:tr w14:paraId="73BF0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49AD49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ZH13043520143</w:t>
            </w:r>
          </w:p>
        </w:tc>
        <w:tc>
          <w:tcPr>
            <w:tcW w:w="567" w:type="dxa"/>
            <w:vMerge w:val="restart"/>
            <w:noWrap w:val="0"/>
            <w:vAlign w:val="center"/>
          </w:tcPr>
          <w:p w14:paraId="1251B6C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06542C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曲周镇</w:t>
            </w:r>
          </w:p>
        </w:tc>
        <w:tc>
          <w:tcPr>
            <w:tcW w:w="709" w:type="dxa"/>
            <w:vMerge w:val="restart"/>
            <w:noWrap w:val="0"/>
            <w:vAlign w:val="center"/>
          </w:tcPr>
          <w:p w14:paraId="115D00D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638B20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大气环境高排放重点管控区、水环境工业污染重点管控区、曲周经济开发区南区、地下水开采重点管控区</w:t>
            </w:r>
          </w:p>
        </w:tc>
        <w:tc>
          <w:tcPr>
            <w:tcW w:w="850" w:type="dxa"/>
            <w:noWrap w:val="0"/>
            <w:vAlign w:val="center"/>
          </w:tcPr>
          <w:p w14:paraId="0A2F36A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B15C31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1.下列项目禁止入区：单独开采地下水的建设项目；污染严重，破坏自然生态损害人体健康又无治理技术或难治理的产业；不符合各区产业规划的项目。2.禁止新建《产业结构调整指导目录(2019 年本)》中限制类、淘汰类项目。3.开发区南区禁止入驻涉及酸洗、磷化、电镀工序的企业。</w:t>
            </w:r>
          </w:p>
        </w:tc>
      </w:tr>
      <w:tr w14:paraId="5F4D5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C3FD43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F02738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4D35A8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BDAC6B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6CDA6E6">
            <w:pPr>
              <w:widowControl/>
              <w:spacing w:line="0" w:lineRule="atLeast"/>
              <w:jc w:val="center"/>
              <w:rPr>
                <w:rFonts w:ascii="仿宋" w:hAnsi="仿宋" w:eastAsia="仿宋" w:cs="仿宋"/>
                <w:bCs/>
                <w:spacing w:val="-10"/>
                <w:kern w:val="0"/>
                <w:sz w:val="24"/>
              </w:rPr>
            </w:pPr>
          </w:p>
        </w:tc>
        <w:tc>
          <w:tcPr>
            <w:tcW w:w="850" w:type="dxa"/>
            <w:noWrap w:val="0"/>
            <w:vAlign w:val="center"/>
          </w:tcPr>
          <w:p w14:paraId="0B730C9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0FE9FE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开发区内锅炉污染物排放满足《锅炉大气污染物排放标准》（DB13/5161-2020）相应排放限值要求。工业炉窑污染物排放满足《工业炉窑大气污染物排放标准》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5363B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94" w:hRule="atLeast"/>
          <w:jc w:val="center"/>
        </w:trPr>
        <w:tc>
          <w:tcPr>
            <w:tcW w:w="595" w:type="dxa"/>
            <w:vMerge w:val="continue"/>
            <w:noWrap w:val="0"/>
            <w:vAlign w:val="center"/>
          </w:tcPr>
          <w:p w14:paraId="6061C63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59FE09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D3D845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E0E3AB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042FCB0">
            <w:pPr>
              <w:widowControl/>
              <w:spacing w:line="0" w:lineRule="atLeast"/>
              <w:jc w:val="center"/>
              <w:rPr>
                <w:rFonts w:ascii="仿宋" w:hAnsi="仿宋" w:eastAsia="仿宋" w:cs="仿宋"/>
                <w:bCs/>
                <w:spacing w:val="-10"/>
                <w:kern w:val="0"/>
                <w:sz w:val="24"/>
              </w:rPr>
            </w:pPr>
          </w:p>
        </w:tc>
        <w:tc>
          <w:tcPr>
            <w:tcW w:w="850" w:type="dxa"/>
            <w:noWrap w:val="0"/>
            <w:vAlign w:val="center"/>
          </w:tcPr>
          <w:p w14:paraId="328458B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62769C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7AAE0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71" w:hRule="atLeast"/>
          <w:jc w:val="center"/>
        </w:trPr>
        <w:tc>
          <w:tcPr>
            <w:tcW w:w="595" w:type="dxa"/>
            <w:vMerge w:val="continue"/>
            <w:noWrap w:val="0"/>
            <w:vAlign w:val="center"/>
          </w:tcPr>
          <w:p w14:paraId="4B367E1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C6C48F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F80F2E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5D10E0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DB9725C">
            <w:pPr>
              <w:widowControl/>
              <w:spacing w:line="0" w:lineRule="atLeast"/>
              <w:jc w:val="center"/>
              <w:rPr>
                <w:rFonts w:ascii="仿宋" w:hAnsi="仿宋" w:eastAsia="仿宋" w:cs="仿宋"/>
                <w:bCs/>
                <w:spacing w:val="-10"/>
                <w:kern w:val="0"/>
                <w:sz w:val="24"/>
              </w:rPr>
            </w:pPr>
          </w:p>
        </w:tc>
        <w:tc>
          <w:tcPr>
            <w:tcW w:w="850" w:type="dxa"/>
            <w:noWrap w:val="0"/>
            <w:vAlign w:val="center"/>
          </w:tcPr>
          <w:p w14:paraId="49B0759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6717739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1.2030年单位工业用地工业增加值15.6亿元/平方公里、单位工业增加值综合能耗≤0.131吨标准煤/万元、单位工业增加值新鲜水耗≤2.95立方米/万元、再生水回用率≥84%、土地投资强度≥200万元/亩。2.地下水开发利用应当以浅层地下水为主。深层地下水作为战略储备水源、应急供水水源、无替代水源地区的居民生活水源，应当严格限制开采。</w:t>
            </w:r>
          </w:p>
        </w:tc>
      </w:tr>
      <w:tr w14:paraId="32418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20" w:hRule="atLeast"/>
          <w:jc w:val="center"/>
        </w:trPr>
        <w:tc>
          <w:tcPr>
            <w:tcW w:w="595" w:type="dxa"/>
            <w:vMerge w:val="restart"/>
            <w:noWrap w:val="0"/>
            <w:vAlign w:val="center"/>
          </w:tcPr>
          <w:p w14:paraId="113E8B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ZH13043520144</w:t>
            </w:r>
          </w:p>
        </w:tc>
        <w:tc>
          <w:tcPr>
            <w:tcW w:w="567" w:type="dxa"/>
            <w:vMerge w:val="restart"/>
            <w:noWrap w:val="0"/>
            <w:vAlign w:val="center"/>
          </w:tcPr>
          <w:p w14:paraId="5DCE0AF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2493805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第四疃镇、河南疃镇</w:t>
            </w:r>
          </w:p>
        </w:tc>
        <w:tc>
          <w:tcPr>
            <w:tcW w:w="709" w:type="dxa"/>
            <w:vMerge w:val="restart"/>
            <w:noWrap w:val="0"/>
            <w:vAlign w:val="center"/>
          </w:tcPr>
          <w:p w14:paraId="50EFA8E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261AC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大气环境高排放重点管控区、水环境工业污染重点管控区、曲周经济开发区中区、地下水开采重点管控区</w:t>
            </w:r>
          </w:p>
        </w:tc>
        <w:tc>
          <w:tcPr>
            <w:tcW w:w="850" w:type="dxa"/>
            <w:noWrap w:val="0"/>
            <w:vAlign w:val="center"/>
          </w:tcPr>
          <w:p w14:paraId="2FBB82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828693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1.下列项目禁止入区：单独开采地下水的建设项目；污染严重，破坏自然生态损害人体健康又无治理技术或难治理的产业；不符合各区产业规划的项目。2.禁止新建《产业结构调整指导目录(2019 年本)》中限制类、淘汰类项目。</w:t>
            </w:r>
          </w:p>
        </w:tc>
      </w:tr>
      <w:tr w14:paraId="3EF3D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658469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D84399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6B682C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5FAD5E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5564C67">
            <w:pPr>
              <w:widowControl/>
              <w:spacing w:line="0" w:lineRule="atLeast"/>
              <w:jc w:val="center"/>
              <w:rPr>
                <w:rFonts w:ascii="仿宋" w:hAnsi="仿宋" w:eastAsia="仿宋" w:cs="仿宋"/>
                <w:bCs/>
                <w:spacing w:val="-10"/>
                <w:kern w:val="0"/>
                <w:sz w:val="24"/>
              </w:rPr>
            </w:pPr>
          </w:p>
        </w:tc>
        <w:tc>
          <w:tcPr>
            <w:tcW w:w="850" w:type="dxa"/>
            <w:noWrap w:val="0"/>
            <w:vAlign w:val="center"/>
          </w:tcPr>
          <w:p w14:paraId="3A093B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29132C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开发区内锅炉污染物排放满足《锅炉大气污染物排放标准》（DB13/5161-2020）相应排放限值要求。工业炉窑污染物排放满足《工业炉窑大气污染物排放标准》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69EB2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011FF6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F52EAE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E12FE6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0BDD1F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9DBAF18">
            <w:pPr>
              <w:widowControl/>
              <w:spacing w:line="0" w:lineRule="atLeast"/>
              <w:jc w:val="center"/>
              <w:rPr>
                <w:rFonts w:ascii="仿宋" w:hAnsi="仿宋" w:eastAsia="仿宋" w:cs="仿宋"/>
                <w:bCs/>
                <w:spacing w:val="-10"/>
                <w:kern w:val="0"/>
                <w:sz w:val="24"/>
              </w:rPr>
            </w:pPr>
          </w:p>
        </w:tc>
        <w:tc>
          <w:tcPr>
            <w:tcW w:w="850" w:type="dxa"/>
            <w:noWrap w:val="0"/>
            <w:vAlign w:val="center"/>
          </w:tcPr>
          <w:p w14:paraId="5B84B47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B1A391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开发区应加强管理，严格落实规划环评及企业环评提出的风险防范措施，结合开发区突发环境事件应急预案，进一步指导开发区风险污染防控。</w:t>
            </w:r>
          </w:p>
        </w:tc>
      </w:tr>
      <w:tr w14:paraId="1C137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1558E6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8A0C33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EAB010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94FE43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68E5FF3">
            <w:pPr>
              <w:widowControl/>
              <w:spacing w:line="0" w:lineRule="atLeast"/>
              <w:jc w:val="center"/>
              <w:rPr>
                <w:rFonts w:ascii="仿宋" w:hAnsi="仿宋" w:eastAsia="仿宋" w:cs="仿宋"/>
                <w:bCs/>
                <w:spacing w:val="-10"/>
                <w:kern w:val="0"/>
                <w:sz w:val="24"/>
              </w:rPr>
            </w:pPr>
          </w:p>
        </w:tc>
        <w:tc>
          <w:tcPr>
            <w:tcW w:w="850" w:type="dxa"/>
            <w:noWrap w:val="0"/>
            <w:vAlign w:val="center"/>
          </w:tcPr>
          <w:p w14:paraId="0782A05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74B290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1.2030年单位工业用地工业增加值15.6亿元/平方公里、单位工业增加值综合能耗≤0.131吨标准煤/万元、单位工业增加值新鲜水耗≤2.95立方米/万元、再生水回用率≥84%、土地投资强度≥200万元/亩。2.地下水开发利用应当以浅层地下水为主。深层地下水作为战略储备水源、应急供水水源、无替代水源地区的居民生活水源，应当严格限制开采。</w:t>
            </w:r>
          </w:p>
        </w:tc>
      </w:tr>
      <w:tr w14:paraId="6BD8B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5" w:hRule="atLeast"/>
          <w:jc w:val="center"/>
        </w:trPr>
        <w:tc>
          <w:tcPr>
            <w:tcW w:w="595" w:type="dxa"/>
            <w:vMerge w:val="restart"/>
            <w:noWrap w:val="0"/>
            <w:vAlign w:val="center"/>
          </w:tcPr>
          <w:p w14:paraId="7DA8287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ZH13043520145</w:t>
            </w:r>
          </w:p>
        </w:tc>
        <w:tc>
          <w:tcPr>
            <w:tcW w:w="567" w:type="dxa"/>
            <w:vMerge w:val="restart"/>
            <w:noWrap w:val="0"/>
            <w:vAlign w:val="center"/>
          </w:tcPr>
          <w:p w14:paraId="0D59B16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2E1ADF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白寨镇、槐桥乡、南里岳乡、曲周镇</w:t>
            </w:r>
          </w:p>
        </w:tc>
        <w:tc>
          <w:tcPr>
            <w:tcW w:w="709" w:type="dxa"/>
            <w:vMerge w:val="restart"/>
            <w:noWrap w:val="0"/>
            <w:vAlign w:val="center"/>
          </w:tcPr>
          <w:p w14:paraId="55EE74D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5A6ABDB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大气环境受体敏感重点管控区、水环境城镇生活重点管控区、地下水开采重点管控区</w:t>
            </w:r>
          </w:p>
        </w:tc>
        <w:tc>
          <w:tcPr>
            <w:tcW w:w="850" w:type="dxa"/>
            <w:noWrap w:val="0"/>
            <w:vAlign w:val="center"/>
          </w:tcPr>
          <w:p w14:paraId="611346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BF4349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建设应考虑对周边敏感区的环境影响。2.提高VOCs排放重点行业环保准入门槛，严格控制新增污染物排放量。新建涉VOCs排放的工业企业要入园区。3.省级及以上工业园区以外禁止新建和扩建涂料、油墨、颜料及类似产品制造(等量置换除外)；禁止建设生产和使用高VOCs含量的溶剂型涂料、油墨、胶粘剂等项目。4.严格地下水管理，地下水禁采区和地下水限采区内按照《河北省人民政府关于公布地下水超采区和禁止开采区、限制开采区范围的通知》（冀政字〔2022〕59号）要求执行。</w:t>
            </w:r>
          </w:p>
        </w:tc>
      </w:tr>
      <w:tr w14:paraId="1EE07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677D56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8E9D4A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39D4A0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06CC0A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9E1D713">
            <w:pPr>
              <w:widowControl/>
              <w:spacing w:line="0" w:lineRule="atLeast"/>
              <w:jc w:val="center"/>
              <w:rPr>
                <w:rFonts w:ascii="仿宋" w:hAnsi="仿宋" w:eastAsia="仿宋" w:cs="仿宋"/>
                <w:bCs/>
                <w:spacing w:val="-10"/>
                <w:kern w:val="0"/>
                <w:sz w:val="24"/>
              </w:rPr>
            </w:pPr>
          </w:p>
        </w:tc>
        <w:tc>
          <w:tcPr>
            <w:tcW w:w="850" w:type="dxa"/>
            <w:noWrap w:val="0"/>
            <w:vAlign w:val="center"/>
          </w:tcPr>
          <w:p w14:paraId="4644E1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6BF4AF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挥发性有机物排放满足《工业企业挥发性有机物排放控制标准》(DB13/2322-2016)和《挥发性有机物无组织排放控制标准》(GB37822-2019)中相应排放限值要求。2.全面加强原辅材料源头替代，从源头减少VOCs产生。涉VOCs重点企业全面执行《挥发性有机物无组织排放控制标准》(GB37822-2019)。选择适宜的废气治理工艺，对VOCs污染源进行有效处理。</w:t>
            </w:r>
          </w:p>
        </w:tc>
      </w:tr>
      <w:tr w14:paraId="32D27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B45AD9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68D2B3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8F0061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38EDE7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85971BA">
            <w:pPr>
              <w:widowControl/>
              <w:spacing w:line="0" w:lineRule="atLeast"/>
              <w:jc w:val="center"/>
              <w:rPr>
                <w:rFonts w:ascii="仿宋" w:hAnsi="仿宋" w:eastAsia="仿宋" w:cs="仿宋"/>
                <w:bCs/>
                <w:spacing w:val="-10"/>
                <w:kern w:val="0"/>
                <w:sz w:val="24"/>
              </w:rPr>
            </w:pPr>
          </w:p>
        </w:tc>
        <w:tc>
          <w:tcPr>
            <w:tcW w:w="850" w:type="dxa"/>
            <w:noWrap w:val="0"/>
            <w:vAlign w:val="center"/>
          </w:tcPr>
          <w:p w14:paraId="6600232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0753C5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0FE0A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4226A1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EF38BC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E0BD83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E9C7D3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BC1171">
            <w:pPr>
              <w:widowControl/>
              <w:spacing w:line="0" w:lineRule="atLeast"/>
              <w:jc w:val="center"/>
              <w:rPr>
                <w:rFonts w:ascii="仿宋" w:hAnsi="仿宋" w:eastAsia="仿宋" w:cs="仿宋"/>
                <w:bCs/>
                <w:spacing w:val="-10"/>
                <w:kern w:val="0"/>
                <w:sz w:val="24"/>
              </w:rPr>
            </w:pPr>
          </w:p>
        </w:tc>
        <w:tc>
          <w:tcPr>
            <w:tcW w:w="850" w:type="dxa"/>
            <w:noWrap w:val="0"/>
            <w:vAlign w:val="center"/>
          </w:tcPr>
          <w:p w14:paraId="09A5C4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35795C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r w14:paraId="5257F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C5B5B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ZH13043530146</w:t>
            </w:r>
          </w:p>
        </w:tc>
        <w:tc>
          <w:tcPr>
            <w:tcW w:w="567" w:type="dxa"/>
            <w:vMerge w:val="restart"/>
            <w:noWrap w:val="0"/>
            <w:vAlign w:val="center"/>
          </w:tcPr>
          <w:p w14:paraId="16EB04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曲周县</w:t>
            </w:r>
          </w:p>
        </w:tc>
        <w:tc>
          <w:tcPr>
            <w:tcW w:w="1134" w:type="dxa"/>
            <w:vMerge w:val="restart"/>
            <w:noWrap w:val="0"/>
            <w:vAlign w:val="center"/>
          </w:tcPr>
          <w:p w14:paraId="4F9D158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安寨镇、白寨镇、大河道乡、第四疃镇、河南疃镇、侯村镇、槐桥乡、南里岳乡、曲周镇、依庄乡</w:t>
            </w:r>
          </w:p>
        </w:tc>
        <w:tc>
          <w:tcPr>
            <w:tcW w:w="709" w:type="dxa"/>
            <w:vMerge w:val="restart"/>
            <w:noWrap w:val="0"/>
            <w:vAlign w:val="center"/>
          </w:tcPr>
          <w:p w14:paraId="516CD7D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2948DF6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0B34A2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730946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确保“散乱污”企业动态清零。2.提高VOCs排放重点行业环保准入门槛，严格控制新增污染物排放量。新建涉VOCs排放的工业企业要入园区。3.严格地下水管理，地下水禁采区和地下水限采区内按照《河北省人民政府关于公布地下水超采区和禁止开采区、限制开采区范围的通知》（冀政字〔2022〕59号）要求执行。</w:t>
            </w:r>
          </w:p>
        </w:tc>
      </w:tr>
      <w:tr w14:paraId="4370F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7BD424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34C0FA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DE76898">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221C3B0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4333EAB">
            <w:pPr>
              <w:widowControl/>
              <w:spacing w:line="0" w:lineRule="atLeast"/>
              <w:jc w:val="center"/>
              <w:rPr>
                <w:rFonts w:ascii="仿宋" w:hAnsi="仿宋" w:eastAsia="仿宋" w:cs="仿宋"/>
                <w:bCs/>
                <w:spacing w:val="-10"/>
                <w:kern w:val="0"/>
                <w:sz w:val="24"/>
              </w:rPr>
            </w:pPr>
          </w:p>
        </w:tc>
        <w:tc>
          <w:tcPr>
            <w:tcW w:w="850" w:type="dxa"/>
            <w:noWrap w:val="0"/>
            <w:vAlign w:val="center"/>
          </w:tcPr>
          <w:p w14:paraId="74461DF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9FB7F5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1.砖瓦行业污染物排放满足《砖瓦工业大气污染物排放标准》（GB2962-2013）及修改单中相应排放限值要求。2.工业炉窑污染物排放满足《工业炉窑大气污染物排放标准》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3.冲天炉、玻璃熔窑、以煤和煤矸石为燃料的砖瓦烧结窑、耐火材料焙烧窑(电窑除外)、炭素焙(煅)烧炉(窑)、石灰窑、和精炼炉等，原则上应纳入重点排污单位名录，安装自动监控设施。</w:t>
            </w:r>
          </w:p>
        </w:tc>
      </w:tr>
      <w:tr w14:paraId="136D7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DD46DD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3D2EF8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A8A55F8">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0075133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D9743A7">
            <w:pPr>
              <w:widowControl/>
              <w:spacing w:line="0" w:lineRule="atLeast"/>
              <w:jc w:val="center"/>
              <w:rPr>
                <w:rFonts w:ascii="仿宋" w:hAnsi="仿宋" w:eastAsia="仿宋" w:cs="仿宋"/>
                <w:bCs/>
                <w:spacing w:val="-10"/>
                <w:kern w:val="0"/>
                <w:sz w:val="24"/>
              </w:rPr>
            </w:pPr>
          </w:p>
        </w:tc>
        <w:tc>
          <w:tcPr>
            <w:tcW w:w="850" w:type="dxa"/>
            <w:noWrap w:val="0"/>
            <w:vAlign w:val="center"/>
          </w:tcPr>
          <w:p w14:paraId="38390A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63C19B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47BF2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EEFE21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02C47B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0615FAE">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545D1F8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596C856">
            <w:pPr>
              <w:widowControl/>
              <w:spacing w:line="0" w:lineRule="atLeast"/>
              <w:jc w:val="center"/>
              <w:rPr>
                <w:rFonts w:ascii="仿宋" w:hAnsi="仿宋" w:eastAsia="仿宋" w:cs="仿宋"/>
                <w:bCs/>
                <w:spacing w:val="-10"/>
                <w:kern w:val="0"/>
                <w:sz w:val="24"/>
              </w:rPr>
            </w:pPr>
          </w:p>
        </w:tc>
        <w:tc>
          <w:tcPr>
            <w:tcW w:w="850" w:type="dxa"/>
            <w:noWrap w:val="0"/>
            <w:vAlign w:val="center"/>
          </w:tcPr>
          <w:p w14:paraId="5262C8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5B7412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地下水开发利用应当以浅层地下水为主。深层地下水作为战略储备水源、应急供水水源、无替代水源地区的居民生活水源，应当严格限制开采。</w:t>
            </w:r>
          </w:p>
        </w:tc>
      </w:tr>
    </w:tbl>
    <w:p w14:paraId="73909C73">
      <w:pPr>
        <w:pStyle w:val="10"/>
        <w:spacing w:before="240"/>
        <w:ind w:left="0" w:leftChars="0" w:firstLine="0" w:firstLineChars="0"/>
        <w:jc w:val="left"/>
        <w:rPr>
          <w:rFonts w:ascii="仿宋" w:hAnsi="仿宋" w:eastAsia="仿宋" w:cs="仿宋"/>
          <w:b/>
          <w:sz w:val="28"/>
          <w:szCs w:val="18"/>
        </w:rPr>
      </w:pPr>
    </w:p>
    <w:p w14:paraId="31190D43">
      <w:pPr>
        <w:pStyle w:val="10"/>
        <w:spacing w:before="240"/>
        <w:ind w:left="0" w:leftChars="0" w:firstLine="0" w:firstLineChars="0"/>
        <w:jc w:val="left"/>
        <w:rPr>
          <w:rFonts w:ascii="仿宋" w:hAnsi="仿宋" w:eastAsia="仿宋" w:cs="仿宋"/>
          <w:b/>
          <w:sz w:val="28"/>
          <w:szCs w:val="18"/>
        </w:rPr>
      </w:pPr>
    </w:p>
    <w:p w14:paraId="7EFDB42E">
      <w:pPr>
        <w:pStyle w:val="10"/>
        <w:numPr>
          <w:ilvl w:val="1"/>
          <w:numId w:val="0"/>
        </w:numPr>
        <w:spacing w:beforeLines="50"/>
        <w:ind w:firstLine="640" w:firstLineChars="200"/>
        <w:outlineLvl w:val="1"/>
        <w:rPr>
          <w:rFonts w:ascii="仿宋" w:hAnsi="仿宋" w:eastAsia="仿宋" w:cs="仿宋"/>
          <w:bCs/>
          <w:sz w:val="32"/>
          <w:szCs w:val="32"/>
        </w:rPr>
      </w:pPr>
      <w:r>
        <w:rPr>
          <w:rFonts w:hint="eastAsia" w:ascii="仿宋" w:hAnsi="仿宋" w:eastAsia="仿宋" w:cs="仿宋"/>
          <w:bCs/>
          <w:sz w:val="32"/>
          <w:szCs w:val="32"/>
        </w:rPr>
        <w:t>（十八）邯郸市经济技术开发区生态环境准入清单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0"/>
        <w:gridCol w:w="4195"/>
      </w:tblGrid>
      <w:tr w14:paraId="1A3F3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578226DA">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6E4F37C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599BE64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0E724A2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0A26DB53">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7453C835">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3A19C812">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30A8D8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BD063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ZH13047110146</w:t>
            </w:r>
          </w:p>
        </w:tc>
        <w:tc>
          <w:tcPr>
            <w:tcW w:w="567" w:type="dxa"/>
            <w:vMerge w:val="restart"/>
            <w:noWrap w:val="0"/>
            <w:vAlign w:val="center"/>
          </w:tcPr>
          <w:p w14:paraId="4E4BAF4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520B9CB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尚璧镇、南沿村镇、小西堡乡、姚寨乡、社会事务局</w:t>
            </w:r>
          </w:p>
        </w:tc>
        <w:tc>
          <w:tcPr>
            <w:tcW w:w="709" w:type="dxa"/>
            <w:vMerge w:val="restart"/>
            <w:noWrap w:val="0"/>
            <w:vAlign w:val="center"/>
          </w:tcPr>
          <w:p w14:paraId="05E260B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54B70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7CD62A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2FF702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0FB1D6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BFF7C1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2C2E0F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3CBD30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ECF831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855DA0C">
            <w:pPr>
              <w:widowControl/>
              <w:spacing w:line="0" w:lineRule="atLeast"/>
              <w:jc w:val="center"/>
              <w:rPr>
                <w:rFonts w:ascii="仿宋" w:hAnsi="仿宋" w:eastAsia="仿宋" w:cs="仿宋"/>
                <w:bCs/>
                <w:spacing w:val="-10"/>
                <w:kern w:val="0"/>
                <w:sz w:val="24"/>
              </w:rPr>
            </w:pPr>
          </w:p>
        </w:tc>
        <w:tc>
          <w:tcPr>
            <w:tcW w:w="850" w:type="dxa"/>
            <w:noWrap w:val="0"/>
            <w:vAlign w:val="center"/>
          </w:tcPr>
          <w:p w14:paraId="2B1198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71BB088">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4FB71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DFCE0E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DBFB33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DEF154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36904D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024C167">
            <w:pPr>
              <w:widowControl/>
              <w:spacing w:line="0" w:lineRule="atLeast"/>
              <w:jc w:val="center"/>
              <w:rPr>
                <w:rFonts w:ascii="仿宋" w:hAnsi="仿宋" w:eastAsia="仿宋" w:cs="仿宋"/>
                <w:bCs/>
                <w:spacing w:val="-10"/>
                <w:kern w:val="0"/>
                <w:sz w:val="24"/>
              </w:rPr>
            </w:pPr>
          </w:p>
        </w:tc>
        <w:tc>
          <w:tcPr>
            <w:tcW w:w="850" w:type="dxa"/>
            <w:noWrap w:val="0"/>
            <w:vAlign w:val="center"/>
          </w:tcPr>
          <w:p w14:paraId="488D49F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FC9D6D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5DE2E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A6DF71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2E00DA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A73CEB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0929D7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FB7B2AA">
            <w:pPr>
              <w:widowControl/>
              <w:spacing w:line="0" w:lineRule="atLeast"/>
              <w:jc w:val="center"/>
              <w:rPr>
                <w:rFonts w:ascii="仿宋" w:hAnsi="仿宋" w:eastAsia="仿宋" w:cs="仿宋"/>
                <w:bCs/>
                <w:spacing w:val="-10"/>
                <w:kern w:val="0"/>
                <w:sz w:val="24"/>
              </w:rPr>
            </w:pPr>
          </w:p>
        </w:tc>
        <w:tc>
          <w:tcPr>
            <w:tcW w:w="850" w:type="dxa"/>
            <w:noWrap w:val="0"/>
            <w:vAlign w:val="center"/>
          </w:tcPr>
          <w:p w14:paraId="0F46232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1C1F32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50E46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83A9C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ZH13047110147</w:t>
            </w:r>
          </w:p>
        </w:tc>
        <w:tc>
          <w:tcPr>
            <w:tcW w:w="567" w:type="dxa"/>
            <w:vMerge w:val="restart"/>
            <w:noWrap w:val="0"/>
            <w:vAlign w:val="center"/>
          </w:tcPr>
          <w:p w14:paraId="198E84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00775F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南沿村镇、小西堡乡</w:t>
            </w:r>
          </w:p>
        </w:tc>
        <w:tc>
          <w:tcPr>
            <w:tcW w:w="709" w:type="dxa"/>
            <w:vMerge w:val="restart"/>
            <w:noWrap w:val="0"/>
            <w:vAlign w:val="center"/>
          </w:tcPr>
          <w:p w14:paraId="3AB63F5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2B9549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850" w:type="dxa"/>
            <w:noWrap w:val="0"/>
            <w:vAlign w:val="center"/>
          </w:tcPr>
          <w:p w14:paraId="00092C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27A134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1.满足生态保护红线相关要求。2.满足《中华人民共和国河道管理条例》相关要求。</w:t>
            </w:r>
          </w:p>
        </w:tc>
      </w:tr>
      <w:tr w14:paraId="1DF8A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603F6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94CD43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958792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B696F3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3A0C1CF">
            <w:pPr>
              <w:widowControl/>
              <w:spacing w:line="0" w:lineRule="atLeast"/>
              <w:jc w:val="center"/>
              <w:rPr>
                <w:rFonts w:ascii="仿宋" w:hAnsi="仿宋" w:eastAsia="仿宋" w:cs="仿宋"/>
                <w:bCs/>
                <w:spacing w:val="-10"/>
                <w:kern w:val="0"/>
                <w:sz w:val="24"/>
              </w:rPr>
            </w:pPr>
          </w:p>
        </w:tc>
        <w:tc>
          <w:tcPr>
            <w:tcW w:w="850" w:type="dxa"/>
            <w:noWrap w:val="0"/>
            <w:vAlign w:val="center"/>
          </w:tcPr>
          <w:p w14:paraId="0D39B36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E487F7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6083B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EEACC5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F86ABD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2D14AE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7C9E7D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8444ADE">
            <w:pPr>
              <w:widowControl/>
              <w:spacing w:line="0" w:lineRule="atLeast"/>
              <w:jc w:val="center"/>
              <w:rPr>
                <w:rFonts w:ascii="仿宋" w:hAnsi="仿宋" w:eastAsia="仿宋" w:cs="仿宋"/>
                <w:bCs/>
                <w:spacing w:val="-10"/>
                <w:kern w:val="0"/>
                <w:sz w:val="24"/>
              </w:rPr>
            </w:pPr>
          </w:p>
        </w:tc>
        <w:tc>
          <w:tcPr>
            <w:tcW w:w="850" w:type="dxa"/>
            <w:noWrap w:val="0"/>
            <w:vAlign w:val="center"/>
          </w:tcPr>
          <w:p w14:paraId="4CD3827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A26FD9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1B7D4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DC4D01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B5E3BA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A76348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3EED27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DAA79FE">
            <w:pPr>
              <w:widowControl/>
              <w:spacing w:line="0" w:lineRule="atLeast"/>
              <w:jc w:val="center"/>
              <w:rPr>
                <w:rFonts w:ascii="仿宋" w:hAnsi="仿宋" w:eastAsia="仿宋" w:cs="仿宋"/>
                <w:bCs/>
                <w:spacing w:val="-10"/>
                <w:kern w:val="0"/>
                <w:sz w:val="24"/>
              </w:rPr>
            </w:pPr>
          </w:p>
        </w:tc>
        <w:tc>
          <w:tcPr>
            <w:tcW w:w="850" w:type="dxa"/>
            <w:noWrap w:val="0"/>
            <w:vAlign w:val="center"/>
          </w:tcPr>
          <w:p w14:paraId="5FB3B4D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C165CB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A86C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48A46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ZH13047120148</w:t>
            </w:r>
          </w:p>
        </w:tc>
        <w:tc>
          <w:tcPr>
            <w:tcW w:w="567" w:type="dxa"/>
            <w:vMerge w:val="restart"/>
            <w:noWrap w:val="0"/>
            <w:vAlign w:val="center"/>
          </w:tcPr>
          <w:p w14:paraId="1F9ACA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1CAF01C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社会事务局、尚璧镇</w:t>
            </w:r>
          </w:p>
        </w:tc>
        <w:tc>
          <w:tcPr>
            <w:tcW w:w="709" w:type="dxa"/>
            <w:vMerge w:val="restart"/>
            <w:noWrap w:val="0"/>
            <w:vAlign w:val="center"/>
          </w:tcPr>
          <w:p w14:paraId="714A66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79DF538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大气环境布局敏感重点管控区、水环境城镇生活污染重点管控区、高污染燃料禁燃区</w:t>
            </w:r>
          </w:p>
        </w:tc>
        <w:tc>
          <w:tcPr>
            <w:tcW w:w="850" w:type="dxa"/>
            <w:noWrap w:val="0"/>
            <w:vAlign w:val="center"/>
          </w:tcPr>
          <w:p w14:paraId="555887F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B295E94">
            <w:pPr>
              <w:widowControl/>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1.提高VOCs排放重点行业环保准入门槛，严格控制新增污染物排放量。新建涉VOCs排放的工业企业要入园区。</w:t>
            </w:r>
          </w:p>
          <w:p w14:paraId="63D5EEB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color w:val="0000FF"/>
                <w:spacing w:val="-10"/>
                <w:kern w:val="0"/>
                <w:sz w:val="24"/>
              </w:rPr>
              <w:t>2.禁止建设生产和使用高VOCs含量的溶剂型涂料、油墨、胶粘剂等项目。VOCs应满足总量减排工作有关规定。</w:t>
            </w:r>
          </w:p>
        </w:tc>
      </w:tr>
      <w:tr w14:paraId="561FA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A0ECD2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5AFC4B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B328D8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3301AF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F91195C">
            <w:pPr>
              <w:widowControl/>
              <w:spacing w:line="0" w:lineRule="atLeast"/>
              <w:jc w:val="center"/>
              <w:rPr>
                <w:rFonts w:ascii="仿宋" w:hAnsi="仿宋" w:eastAsia="仿宋" w:cs="仿宋"/>
                <w:bCs/>
                <w:spacing w:val="-10"/>
                <w:kern w:val="0"/>
                <w:sz w:val="24"/>
              </w:rPr>
            </w:pPr>
          </w:p>
        </w:tc>
        <w:tc>
          <w:tcPr>
            <w:tcW w:w="850" w:type="dxa"/>
            <w:noWrap w:val="0"/>
            <w:vAlign w:val="center"/>
          </w:tcPr>
          <w:p w14:paraId="0F71F92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41A0684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油墨、涂料行业污染物排放满足《涂料、油墨及胶粘剂工业大气污染物排放标准》(GB37824-2019)、《油墨工业水污染物排放标准》(GB25463-2010)、《工业企业挥发性有机物排放控制标准》(DB13/2322-2016)和《挥发性有机物无组织排放控制标准》(GB37822-2019)中相应排放限值要求。2.印刷工业污染防治措施按照《印刷工业污染防治可行技术指南》(HJ1089-2020)和《关于印发&lt;河北省重点行业挥发性有机物污染控制技术指引&gt;》(冀环大气〔2019〕501号)中要求执行。3.全面加强原辅材料源头替代，从源头减少VOCs产生。涉VOCs重点企业全面执行《挥发性有机物无组织排放控制标准》(GB37822-2019)。选择适宜的废气治理工艺，对VOCs污染源进行有效处理。4.加快完善区域污水管网建设，提高污水收集率，严禁生活污水不经处理直接外排。5.现有及新（改、扩）建向环境水体直接排放污水的排污单位满足《子牙河流域水污染物排放标准》（DB13/2796-2018)相应排放限值要求。</w:t>
            </w:r>
          </w:p>
        </w:tc>
      </w:tr>
      <w:tr w14:paraId="1DDDD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29BEE7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DCC274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EAAE7F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DB99D5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F4D4309">
            <w:pPr>
              <w:widowControl/>
              <w:spacing w:line="0" w:lineRule="atLeast"/>
              <w:jc w:val="center"/>
              <w:rPr>
                <w:rFonts w:ascii="仿宋" w:hAnsi="仿宋" w:eastAsia="仿宋" w:cs="仿宋"/>
                <w:bCs/>
                <w:spacing w:val="-10"/>
                <w:kern w:val="0"/>
                <w:sz w:val="24"/>
              </w:rPr>
            </w:pPr>
          </w:p>
        </w:tc>
        <w:tc>
          <w:tcPr>
            <w:tcW w:w="850" w:type="dxa"/>
            <w:noWrap w:val="0"/>
            <w:vAlign w:val="center"/>
          </w:tcPr>
          <w:p w14:paraId="2F91F4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660A633">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2CDE9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FB8D5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2BC576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373233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91A5D1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0B23E95">
            <w:pPr>
              <w:widowControl/>
              <w:spacing w:line="0" w:lineRule="atLeast"/>
              <w:jc w:val="center"/>
              <w:rPr>
                <w:rFonts w:ascii="仿宋" w:hAnsi="仿宋" w:eastAsia="仿宋" w:cs="仿宋"/>
                <w:bCs/>
                <w:spacing w:val="-10"/>
                <w:kern w:val="0"/>
                <w:sz w:val="24"/>
              </w:rPr>
            </w:pPr>
          </w:p>
        </w:tc>
        <w:tc>
          <w:tcPr>
            <w:tcW w:w="850" w:type="dxa"/>
            <w:noWrap w:val="0"/>
            <w:vAlign w:val="center"/>
          </w:tcPr>
          <w:p w14:paraId="01811F7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039945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5EF16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53CFA3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ZH13047120149</w:t>
            </w:r>
          </w:p>
        </w:tc>
        <w:tc>
          <w:tcPr>
            <w:tcW w:w="567" w:type="dxa"/>
            <w:vMerge w:val="restart"/>
            <w:noWrap w:val="0"/>
            <w:vAlign w:val="center"/>
          </w:tcPr>
          <w:p w14:paraId="5DA7801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122800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社会事务局</w:t>
            </w:r>
          </w:p>
        </w:tc>
        <w:tc>
          <w:tcPr>
            <w:tcW w:w="709" w:type="dxa"/>
            <w:vMerge w:val="restart"/>
            <w:noWrap w:val="0"/>
            <w:vAlign w:val="center"/>
          </w:tcPr>
          <w:p w14:paraId="726C6A3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728126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大气环境高排放重点管控区、水环境工业污染重点管控区、邯郸经济技术开发区、高污染燃料禁燃区</w:t>
            </w:r>
          </w:p>
        </w:tc>
        <w:tc>
          <w:tcPr>
            <w:tcW w:w="850" w:type="dxa"/>
            <w:noWrap w:val="0"/>
            <w:vAlign w:val="center"/>
          </w:tcPr>
          <w:p w14:paraId="7AFFE0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4484FE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spacing w:val="-10"/>
                <w:sz w:val="24"/>
              </w:rPr>
              <w:t>不符合开发区产业定位、污染物排放较大的行业，不支持进区。采用落后的生产工艺或生产设备，不符合国家相关产业政策、达不到规模经济的项目，不支持进区。</w:t>
            </w:r>
          </w:p>
        </w:tc>
      </w:tr>
      <w:tr w14:paraId="54316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449B0D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CB7FDB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22E4A2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C14661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72FA937">
            <w:pPr>
              <w:widowControl/>
              <w:spacing w:line="0" w:lineRule="atLeast"/>
              <w:jc w:val="center"/>
              <w:rPr>
                <w:rFonts w:ascii="仿宋" w:hAnsi="仿宋" w:eastAsia="仿宋" w:cs="仿宋"/>
                <w:bCs/>
                <w:spacing w:val="-10"/>
                <w:kern w:val="0"/>
                <w:sz w:val="24"/>
              </w:rPr>
            </w:pPr>
          </w:p>
        </w:tc>
        <w:tc>
          <w:tcPr>
            <w:tcW w:w="850" w:type="dxa"/>
            <w:noWrap w:val="0"/>
            <w:vAlign w:val="center"/>
          </w:tcPr>
          <w:p w14:paraId="62F21D3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C93B6E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开发区集中供热锅炉污染物排放满足《锅炉大气污染物排放标准》（DB13/5161-2020）相应排放限值要求。2.开发区内工业炉窑污染物排放满足《工业炉窑大气污染物排放标准》（DB13/1640-2012）中的相应排放限值，并满足《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64A56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5BBD43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FEE10F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86862D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662041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BCDA81E">
            <w:pPr>
              <w:widowControl/>
              <w:spacing w:line="0" w:lineRule="atLeast"/>
              <w:jc w:val="center"/>
              <w:rPr>
                <w:rFonts w:ascii="仿宋" w:hAnsi="仿宋" w:eastAsia="仿宋" w:cs="仿宋"/>
                <w:bCs/>
                <w:spacing w:val="-10"/>
                <w:kern w:val="0"/>
                <w:sz w:val="24"/>
              </w:rPr>
            </w:pPr>
          </w:p>
        </w:tc>
        <w:tc>
          <w:tcPr>
            <w:tcW w:w="850" w:type="dxa"/>
            <w:noWrap w:val="0"/>
            <w:vAlign w:val="center"/>
          </w:tcPr>
          <w:p w14:paraId="35CD57B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E7B17B9">
            <w:pPr>
              <w:widowControl/>
              <w:numPr>
                <w:ilvl w:val="0"/>
                <w:numId w:val="0"/>
              </w:numPr>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1.管理机构应建立环境风险防范管理工作长效机制，建立覆盖面广的可视化监控系统，加快自动监测预警网络建设，健全环境风险单位信息。</w:t>
            </w:r>
          </w:p>
          <w:p w14:paraId="15F7A32D">
            <w:pPr>
              <w:widowControl/>
              <w:numPr>
                <w:ilvl w:val="0"/>
                <w:numId w:val="0"/>
              </w:numPr>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2.建立企业、园区和周边水系环境风险防控体系。建立完善有效的环境风险防控设施和有效的拦截、降污、导流等措施。</w:t>
            </w:r>
          </w:p>
          <w:p w14:paraId="7FB8A3ED">
            <w:pPr>
              <w:widowControl/>
              <w:numPr>
                <w:ilvl w:val="0"/>
                <w:numId w:val="0"/>
              </w:numPr>
              <w:spacing w:line="0" w:lineRule="atLeast"/>
              <w:ind w:firstLine="440" w:firstLineChars="200"/>
              <w:rPr>
                <w:rFonts w:ascii="仿宋" w:hAnsi="仿宋" w:eastAsia="仿宋" w:cs="仿宋"/>
                <w:bCs/>
                <w:spacing w:val="-10"/>
                <w:kern w:val="0"/>
                <w:sz w:val="24"/>
              </w:rPr>
            </w:pPr>
            <w:r>
              <w:rPr>
                <w:rFonts w:hint="eastAsia" w:ascii="仿宋" w:hAnsi="仿宋" w:eastAsia="仿宋" w:cs="仿宋"/>
                <w:bCs/>
                <w:color w:val="0000FF"/>
                <w:spacing w:val="-10"/>
                <w:kern w:val="0"/>
                <w:sz w:val="24"/>
              </w:rPr>
              <w:t>3.有关企业应按要求制定环境应急预案，明确环境风险防范措施。</w:t>
            </w:r>
          </w:p>
        </w:tc>
      </w:tr>
      <w:tr w14:paraId="73961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5C81F9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AE86CA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CDC15B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27B4FC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B925BEE">
            <w:pPr>
              <w:widowControl/>
              <w:spacing w:line="0" w:lineRule="atLeast"/>
              <w:jc w:val="center"/>
              <w:rPr>
                <w:rFonts w:ascii="仿宋" w:hAnsi="仿宋" w:eastAsia="仿宋" w:cs="仿宋"/>
                <w:bCs/>
                <w:spacing w:val="-10"/>
                <w:kern w:val="0"/>
                <w:sz w:val="24"/>
              </w:rPr>
            </w:pPr>
          </w:p>
        </w:tc>
        <w:tc>
          <w:tcPr>
            <w:tcW w:w="850" w:type="dxa"/>
            <w:noWrap w:val="0"/>
            <w:vAlign w:val="center"/>
          </w:tcPr>
          <w:p w14:paraId="79B0D3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F84AD4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79EAB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1C7236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ZH13047120150</w:t>
            </w:r>
          </w:p>
        </w:tc>
        <w:tc>
          <w:tcPr>
            <w:tcW w:w="567" w:type="dxa"/>
            <w:vMerge w:val="restart"/>
            <w:noWrap w:val="0"/>
            <w:vAlign w:val="center"/>
          </w:tcPr>
          <w:p w14:paraId="106C62D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608100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社会事务局、尚璧镇</w:t>
            </w:r>
          </w:p>
        </w:tc>
        <w:tc>
          <w:tcPr>
            <w:tcW w:w="709" w:type="dxa"/>
            <w:vMerge w:val="restart"/>
            <w:noWrap w:val="0"/>
            <w:vAlign w:val="center"/>
          </w:tcPr>
          <w:p w14:paraId="7748405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181D42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大气环境高排放重点管控区、水环境工业污染重点管控区、邯郸经济技术开发区东区、高污染燃料禁燃区</w:t>
            </w:r>
          </w:p>
        </w:tc>
        <w:tc>
          <w:tcPr>
            <w:tcW w:w="850" w:type="dxa"/>
            <w:noWrap w:val="0"/>
            <w:vAlign w:val="center"/>
          </w:tcPr>
          <w:p w14:paraId="4E325E1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空间布局约束</w:t>
            </w:r>
          </w:p>
        </w:tc>
        <w:tc>
          <w:tcPr>
            <w:tcW w:w="4195" w:type="dxa"/>
            <w:noWrap w:val="0"/>
            <w:vAlign w:val="center"/>
          </w:tcPr>
          <w:p w14:paraId="73B75D7B">
            <w:pPr>
              <w:widowControl/>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1、禁止发展：和规划主导产业无关的建设项目；《产业结构调整指导目录》中规定的淘汰类项目；清洁生产水平达不到国内先进水平的建设项目；开采地下水的项目；列入高耗能、高风险、高污染名录行业的建设项目；污染严重、破坏自然生态损害人体健康又无治理技术或难治理的产业。</w:t>
            </w:r>
          </w:p>
          <w:p w14:paraId="13C8F008">
            <w:pPr>
              <w:widowControl/>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2、新材料及装备制造产业项目应采用先进治污技术，提升污染治理和清洁生产水平，加强对涉电镀、涂装、酸洗、蚀刻等表面处理工艺项目的环境管理，废气、废水要做到集中收集、集中处理，确保污染物达标。</w:t>
            </w:r>
          </w:p>
          <w:p w14:paraId="56AA79C0">
            <w:pPr>
              <w:widowControl/>
              <w:spacing w:line="0" w:lineRule="atLeast"/>
              <w:ind w:firstLine="440" w:firstLineChars="200"/>
              <w:rPr>
                <w:rFonts w:ascii="仿宋" w:hAnsi="仿宋" w:eastAsia="仿宋" w:cs="仿宋"/>
                <w:spacing w:val="-10"/>
                <w:sz w:val="24"/>
              </w:rPr>
            </w:pPr>
            <w:r>
              <w:rPr>
                <w:rFonts w:hint="eastAsia" w:ascii="仿宋" w:hAnsi="仿宋" w:eastAsia="仿宋" w:cs="仿宋"/>
                <w:bCs/>
                <w:color w:val="0000FF"/>
                <w:spacing w:val="-10"/>
                <w:kern w:val="0"/>
                <w:sz w:val="24"/>
              </w:rPr>
              <w:t>3、禁止建设专业电镀企业，涉电镀工序企业原则上应实现电镀工序废水“零排放”，确需外排的应满足重金属总量控制有关规定。电镀工序废水防渗按照重点防渗区要求开展或采取池体架空可视化等防控措施。严格电镀相关固体废物管理。</w:t>
            </w:r>
          </w:p>
        </w:tc>
      </w:tr>
      <w:tr w14:paraId="5FDE5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16" w:hRule="atLeast"/>
          <w:jc w:val="center"/>
        </w:trPr>
        <w:tc>
          <w:tcPr>
            <w:tcW w:w="595" w:type="dxa"/>
            <w:vMerge w:val="continue"/>
            <w:noWrap w:val="0"/>
            <w:vAlign w:val="center"/>
          </w:tcPr>
          <w:p w14:paraId="0D5DD45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AAEB46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745F41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8742A4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4275EA0">
            <w:pPr>
              <w:widowControl/>
              <w:spacing w:line="0" w:lineRule="atLeast"/>
              <w:jc w:val="center"/>
              <w:rPr>
                <w:rFonts w:ascii="仿宋" w:hAnsi="仿宋" w:eastAsia="仿宋" w:cs="仿宋"/>
                <w:bCs/>
                <w:spacing w:val="-10"/>
                <w:kern w:val="0"/>
                <w:sz w:val="24"/>
              </w:rPr>
            </w:pPr>
          </w:p>
        </w:tc>
        <w:tc>
          <w:tcPr>
            <w:tcW w:w="850" w:type="dxa"/>
            <w:noWrap w:val="0"/>
            <w:vAlign w:val="center"/>
          </w:tcPr>
          <w:p w14:paraId="2EAA0F7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污染物排放管控</w:t>
            </w:r>
          </w:p>
        </w:tc>
        <w:tc>
          <w:tcPr>
            <w:tcW w:w="4195" w:type="dxa"/>
            <w:noWrap w:val="0"/>
            <w:vAlign w:val="center"/>
          </w:tcPr>
          <w:p w14:paraId="199AE8FA">
            <w:pPr>
              <w:widowControl/>
              <w:numPr>
                <w:ilvl w:val="0"/>
                <w:numId w:val="0"/>
              </w:numPr>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1.挥发性有机物排放满足《工业企业挥发性</w:t>
            </w:r>
            <w:r>
              <w:rPr>
                <w:rFonts w:hint="eastAsia" w:ascii="仿宋" w:hAnsi="仿宋" w:eastAsia="仿宋" w:cs="仿宋"/>
                <w:bCs/>
                <w:spacing w:val="-10"/>
                <w:kern w:val="0"/>
                <w:sz w:val="24"/>
              </w:rPr>
              <w:t>有机物</w:t>
            </w:r>
            <w:r>
              <w:rPr>
                <w:rFonts w:hint="eastAsia" w:ascii="仿宋" w:hAnsi="仿宋" w:eastAsia="仿宋" w:cs="仿宋"/>
                <w:spacing w:val="-10"/>
                <w:sz w:val="24"/>
              </w:rPr>
              <w:t>排放控制标准》(DB13/2322-2016)和《挥发性有机物无组织排放控制标准》(GB37822-2019)中相应排放限值要求。2.印刷工业污染防治措施按照《印刷工业污染防治可行技术指南》(HJ1089-2020)和《关于印发&lt;河北省重点行业挥发性有机物污染控制技术指引&gt;》(冀环大气〔2019〕501号)中要求执行。3.全面加强原辅材料源头替代，从源头减少VOCs产生。涉VOCs重点企业全面执行《挥发性有机物无组织排放控制标准》</w:t>
            </w:r>
            <w:r>
              <w:rPr>
                <w:rFonts w:hint="eastAsia" w:ascii="仿宋" w:hAnsi="仿宋" w:eastAsia="仿宋" w:cs="仿宋"/>
                <w:bCs/>
                <w:spacing w:val="-10"/>
                <w:kern w:val="0"/>
                <w:sz w:val="24"/>
              </w:rPr>
              <w:t>(GB37822-2019)</w:t>
            </w:r>
            <w:r>
              <w:rPr>
                <w:rFonts w:hint="eastAsia" w:ascii="仿宋" w:hAnsi="仿宋" w:eastAsia="仿宋" w:cs="仿宋"/>
                <w:spacing w:val="-10"/>
                <w:sz w:val="24"/>
              </w:rPr>
              <w:t>。选择适宜的废气治理工艺，对VOCs污染源进行有效处理。</w:t>
            </w:r>
          </w:p>
        </w:tc>
      </w:tr>
      <w:tr w14:paraId="78D41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A3494E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620DA6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D883B7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8B27F8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37AD1EB">
            <w:pPr>
              <w:widowControl/>
              <w:spacing w:line="0" w:lineRule="atLeast"/>
              <w:jc w:val="center"/>
              <w:rPr>
                <w:rFonts w:ascii="仿宋" w:hAnsi="仿宋" w:eastAsia="仿宋" w:cs="仿宋"/>
                <w:bCs/>
                <w:spacing w:val="-10"/>
                <w:kern w:val="0"/>
                <w:sz w:val="24"/>
              </w:rPr>
            </w:pPr>
          </w:p>
        </w:tc>
        <w:tc>
          <w:tcPr>
            <w:tcW w:w="850" w:type="dxa"/>
            <w:noWrap w:val="0"/>
            <w:vAlign w:val="center"/>
          </w:tcPr>
          <w:p w14:paraId="2BA2CA5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A72DA6D">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工艺过程中产生的含VOCs废料(渣、液)满足《挥发性有机物无组织排放控制标准》(GB37822-2019)中的要求。2.入区企业根据自身生产规模和性质设立单独的初期雨水池、事故池及消防废水池，并经各自厂区污水处理厂处理达标后排入园区污水处理厂。</w:t>
            </w:r>
          </w:p>
        </w:tc>
      </w:tr>
      <w:tr w14:paraId="09C4F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3505EE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6568F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94689B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7EDBB3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751080C">
            <w:pPr>
              <w:widowControl/>
              <w:spacing w:line="0" w:lineRule="atLeast"/>
              <w:jc w:val="center"/>
              <w:rPr>
                <w:rFonts w:ascii="仿宋" w:hAnsi="仿宋" w:eastAsia="仿宋" w:cs="仿宋"/>
                <w:bCs/>
                <w:spacing w:val="-10"/>
                <w:kern w:val="0"/>
                <w:sz w:val="24"/>
              </w:rPr>
            </w:pPr>
          </w:p>
        </w:tc>
        <w:tc>
          <w:tcPr>
            <w:tcW w:w="850" w:type="dxa"/>
            <w:noWrap w:val="0"/>
            <w:vAlign w:val="center"/>
          </w:tcPr>
          <w:p w14:paraId="411551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515421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单位工业增加值综合能耗≤0.5吨标准煤/万元，单位工业增加值新鲜水耗≤9立方米/万元，工业水重复利用率≥75，工业固体废物综合利用率≥85%，生活垃圾无害化处理率100%，危险废物处理处置率100%。2.禁燃区内严格按照相应的高污染燃料禁燃区的通告要求执行。</w:t>
            </w:r>
          </w:p>
        </w:tc>
      </w:tr>
      <w:tr w14:paraId="04B96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49" w:hRule="atLeast"/>
          <w:jc w:val="center"/>
        </w:trPr>
        <w:tc>
          <w:tcPr>
            <w:tcW w:w="595" w:type="dxa"/>
            <w:vMerge w:val="restart"/>
            <w:noWrap w:val="0"/>
            <w:vAlign w:val="center"/>
          </w:tcPr>
          <w:p w14:paraId="3F7E856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ZH13047120151</w:t>
            </w:r>
          </w:p>
        </w:tc>
        <w:tc>
          <w:tcPr>
            <w:tcW w:w="567" w:type="dxa"/>
            <w:vMerge w:val="restart"/>
            <w:noWrap w:val="0"/>
            <w:vAlign w:val="center"/>
          </w:tcPr>
          <w:p w14:paraId="3030EE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4C5F78B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社会事务局、尚璧镇</w:t>
            </w:r>
          </w:p>
        </w:tc>
        <w:tc>
          <w:tcPr>
            <w:tcW w:w="709" w:type="dxa"/>
            <w:vMerge w:val="restart"/>
            <w:noWrap w:val="0"/>
            <w:vAlign w:val="center"/>
          </w:tcPr>
          <w:p w14:paraId="680FB1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4F00DD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大气环境受体敏感重点管控区、水环境城镇生活污染重点管控区、高污染燃料禁燃区</w:t>
            </w:r>
          </w:p>
        </w:tc>
        <w:tc>
          <w:tcPr>
            <w:tcW w:w="850" w:type="dxa"/>
            <w:noWrap w:val="0"/>
            <w:vAlign w:val="center"/>
          </w:tcPr>
          <w:p w14:paraId="0E4BEF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DE7240D">
            <w:pPr>
              <w:widowControl/>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1.提高VOCs 排放重点行业环保准入门槛，严格控制新增污染物排放量。新建涉VOCs 排放的工业企业要入园区。</w:t>
            </w:r>
          </w:p>
          <w:p w14:paraId="66F21DE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color w:val="0000FF"/>
                <w:spacing w:val="-10"/>
                <w:kern w:val="0"/>
                <w:sz w:val="24"/>
              </w:rPr>
              <w:t>2.禁止建设生产和使用高VOCs 含量的溶剂型涂料、油墨、胶粘剂等项目。VOCs应满足总量减排工作有关规定。</w:t>
            </w:r>
          </w:p>
        </w:tc>
      </w:tr>
      <w:tr w14:paraId="32704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73" w:hRule="atLeast"/>
          <w:jc w:val="center"/>
        </w:trPr>
        <w:tc>
          <w:tcPr>
            <w:tcW w:w="595" w:type="dxa"/>
            <w:vMerge w:val="continue"/>
            <w:noWrap w:val="0"/>
            <w:vAlign w:val="center"/>
          </w:tcPr>
          <w:p w14:paraId="6C3AE55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1BBA98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CEF298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05CF7D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0BBF7C4">
            <w:pPr>
              <w:widowControl/>
              <w:spacing w:line="0" w:lineRule="atLeast"/>
              <w:jc w:val="center"/>
              <w:rPr>
                <w:rFonts w:ascii="仿宋" w:hAnsi="仿宋" w:eastAsia="仿宋" w:cs="仿宋"/>
                <w:bCs/>
                <w:spacing w:val="-10"/>
                <w:kern w:val="0"/>
                <w:sz w:val="24"/>
              </w:rPr>
            </w:pPr>
          </w:p>
        </w:tc>
        <w:tc>
          <w:tcPr>
            <w:tcW w:w="850" w:type="dxa"/>
            <w:noWrap w:val="0"/>
            <w:vAlign w:val="center"/>
          </w:tcPr>
          <w:p w14:paraId="1A0643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污染物排放管控</w:t>
            </w:r>
          </w:p>
        </w:tc>
        <w:tc>
          <w:tcPr>
            <w:tcW w:w="4195" w:type="dxa"/>
            <w:noWrap w:val="0"/>
            <w:vAlign w:val="center"/>
          </w:tcPr>
          <w:p w14:paraId="48344132">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印刷工业污染防治措施按照《印刷工业污染防治可行技术指南》(HJ1089-2020)和《关于印发&lt;河北省重点行业挥发性有机物污染控制技术指引&gt;》(冀环大气〔2019〕501号)中要求执行。2.全面加强原辅材料源头替代，从源头减少VOCs产生。涉VOCs重点企业全面执行《挥发性有机物无组织排放控制标准》</w:t>
            </w:r>
            <w:r>
              <w:rPr>
                <w:rFonts w:hint="eastAsia" w:ascii="仿宋" w:hAnsi="仿宋" w:eastAsia="仿宋" w:cs="仿宋"/>
                <w:bCs/>
                <w:spacing w:val="-10"/>
                <w:kern w:val="0"/>
                <w:sz w:val="24"/>
              </w:rPr>
              <w:t>(GB37822-2019)</w:t>
            </w:r>
            <w:r>
              <w:rPr>
                <w:rFonts w:hint="eastAsia" w:ascii="仿宋" w:hAnsi="仿宋" w:eastAsia="仿宋" w:cs="仿宋"/>
                <w:spacing w:val="-10"/>
                <w:sz w:val="24"/>
              </w:rPr>
              <w:t>。选择适宜的废气治理工艺，对VOCs污染源进行有效处理。3.加快完善区域污水管网建设，提高污水收集率，严禁生活污水不经处理直接外排。4.工业炉窑污染物排放满足《工业炉窑大气污染物排放标准》(DB13/1640-2012)和《关于印发</w:t>
            </w:r>
            <w:r>
              <w:rPr>
                <w:rFonts w:hint="eastAsia" w:ascii="仿宋" w:hAnsi="仿宋" w:eastAsia="仿宋" w:cs="仿宋"/>
                <w:spacing w:val="-10"/>
                <w:sz w:val="24"/>
                <w:lang w:eastAsia="zh-CN"/>
              </w:rPr>
              <w:t>〈河北省工业炉窑综合治理实施方案〉</w:t>
            </w:r>
            <w:r>
              <w:rPr>
                <w:rFonts w:hint="eastAsia" w:ascii="仿宋" w:hAnsi="仿宋" w:eastAsia="仿宋" w:cs="仿宋"/>
                <w:spacing w:val="-10"/>
                <w:sz w:val="24"/>
              </w:rPr>
              <w:t>的通知》(冀环大气〔2019〕607号)及“退后十”方案中邯郸限值要求。</w:t>
            </w:r>
            <w:r>
              <w:rPr>
                <w:rFonts w:hint="eastAsia" w:ascii="仿宋" w:hAnsi="仿宋" w:eastAsia="仿宋" w:cs="仿宋"/>
                <w:bCs/>
                <w:spacing w:val="-10"/>
                <w:kern w:val="0"/>
                <w:sz w:val="24"/>
              </w:rPr>
              <w:t>5.现有及新（改、扩）建向环境水体直接排放污水的排污单位满足《子牙河流域水污染物排放标准》（DB13/2796-2018)相应排放限值要求。</w:t>
            </w:r>
          </w:p>
        </w:tc>
      </w:tr>
      <w:tr w14:paraId="0B99B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62" w:hRule="atLeast"/>
          <w:jc w:val="center"/>
        </w:trPr>
        <w:tc>
          <w:tcPr>
            <w:tcW w:w="595" w:type="dxa"/>
            <w:vMerge w:val="continue"/>
            <w:noWrap w:val="0"/>
            <w:vAlign w:val="center"/>
          </w:tcPr>
          <w:p w14:paraId="2016F88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91494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F95058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4CCDD1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8D6477E">
            <w:pPr>
              <w:widowControl/>
              <w:spacing w:line="0" w:lineRule="atLeast"/>
              <w:jc w:val="center"/>
              <w:rPr>
                <w:rFonts w:ascii="仿宋" w:hAnsi="仿宋" w:eastAsia="仿宋" w:cs="仿宋"/>
                <w:bCs/>
                <w:spacing w:val="-10"/>
                <w:kern w:val="0"/>
                <w:sz w:val="24"/>
              </w:rPr>
            </w:pPr>
          </w:p>
        </w:tc>
        <w:tc>
          <w:tcPr>
            <w:tcW w:w="850" w:type="dxa"/>
            <w:noWrap w:val="0"/>
            <w:vAlign w:val="center"/>
          </w:tcPr>
          <w:p w14:paraId="76C5673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D88686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工艺过程中产生的含VOCs废料(渣、液)满足《挥发性有机物无组织排放控制标准》(GB37822-2019)中的要求。</w:t>
            </w:r>
          </w:p>
        </w:tc>
      </w:tr>
      <w:tr w14:paraId="42FE2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70" w:hRule="atLeast"/>
          <w:jc w:val="center"/>
        </w:trPr>
        <w:tc>
          <w:tcPr>
            <w:tcW w:w="595" w:type="dxa"/>
            <w:vMerge w:val="continue"/>
            <w:noWrap w:val="0"/>
            <w:vAlign w:val="center"/>
          </w:tcPr>
          <w:p w14:paraId="62AFCCE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7E49BE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0CA7F5D">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85E2EF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00A6725">
            <w:pPr>
              <w:widowControl/>
              <w:spacing w:line="0" w:lineRule="atLeast"/>
              <w:jc w:val="center"/>
              <w:rPr>
                <w:rFonts w:ascii="仿宋" w:hAnsi="仿宋" w:eastAsia="仿宋" w:cs="仿宋"/>
                <w:bCs/>
                <w:spacing w:val="-10"/>
                <w:kern w:val="0"/>
                <w:sz w:val="24"/>
              </w:rPr>
            </w:pPr>
          </w:p>
        </w:tc>
        <w:tc>
          <w:tcPr>
            <w:tcW w:w="850" w:type="dxa"/>
            <w:noWrap w:val="0"/>
            <w:vAlign w:val="center"/>
          </w:tcPr>
          <w:p w14:paraId="5095EB4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61E6199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r w14:paraId="0CD5C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6C98BE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ZH13047120152</w:t>
            </w:r>
          </w:p>
        </w:tc>
        <w:tc>
          <w:tcPr>
            <w:tcW w:w="567" w:type="dxa"/>
            <w:vMerge w:val="restart"/>
            <w:noWrap w:val="0"/>
            <w:vAlign w:val="center"/>
          </w:tcPr>
          <w:p w14:paraId="1B195E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47C00D7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南沿村镇、小西堡乡、姚寨乡</w:t>
            </w:r>
          </w:p>
        </w:tc>
        <w:tc>
          <w:tcPr>
            <w:tcW w:w="709" w:type="dxa"/>
            <w:vMerge w:val="restart"/>
            <w:noWrap w:val="0"/>
            <w:vAlign w:val="center"/>
          </w:tcPr>
          <w:p w14:paraId="6D33623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1FC780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大气环境受体敏感重点管控区、水环境城镇生活污染重点管控区、高污染燃料禁燃区</w:t>
            </w:r>
          </w:p>
        </w:tc>
        <w:tc>
          <w:tcPr>
            <w:tcW w:w="850" w:type="dxa"/>
            <w:noWrap w:val="0"/>
            <w:vAlign w:val="center"/>
          </w:tcPr>
          <w:p w14:paraId="59C8682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top"/>
          </w:tcPr>
          <w:p w14:paraId="6642282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原规划的机械加工区和包装产品制造区现有三家企业：邯郸市亿能电力金具有限公司、邯郸市海力油脂购销有限公司、邯郸市成通灌溉节能设备有限公司，目前均已停产，应进行拆除，对拟建学校进行环境保护。2.机械加工区调整至创业路和平安大街西南侧，不再规划包装产品制造。3.将原蔬菜粮食食品加工区、饲料油脂加工区、肉制品加工区纳入蔬菜粮食食品加工区内发展。4.项目建设应考虑对周边敏感区的环境影响。</w:t>
            </w:r>
          </w:p>
        </w:tc>
      </w:tr>
      <w:tr w14:paraId="50C34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68" w:hRule="atLeast"/>
          <w:jc w:val="center"/>
        </w:trPr>
        <w:tc>
          <w:tcPr>
            <w:tcW w:w="595" w:type="dxa"/>
            <w:vMerge w:val="continue"/>
            <w:noWrap w:val="0"/>
            <w:vAlign w:val="center"/>
          </w:tcPr>
          <w:p w14:paraId="7A2AA3B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0FD19C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5030A5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0624D8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198E7DE">
            <w:pPr>
              <w:widowControl/>
              <w:spacing w:line="0" w:lineRule="atLeast"/>
              <w:jc w:val="center"/>
              <w:rPr>
                <w:rFonts w:ascii="仿宋" w:hAnsi="仿宋" w:eastAsia="仿宋" w:cs="仿宋"/>
                <w:bCs/>
                <w:spacing w:val="-10"/>
                <w:kern w:val="0"/>
                <w:sz w:val="24"/>
              </w:rPr>
            </w:pPr>
          </w:p>
        </w:tc>
        <w:tc>
          <w:tcPr>
            <w:tcW w:w="850" w:type="dxa"/>
            <w:noWrap w:val="0"/>
            <w:vAlign w:val="center"/>
          </w:tcPr>
          <w:p w14:paraId="08F66A0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CAF1CD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白酒行业水污染物排放满足《发酵酒精和白酒工业水污染物排放标准》(GB27631-2011)中相应排放限值要求；其他运行管理要求应按照《饮料酒制造业污染防治技术政策》（公告2018年第7号）执行。2.印刷工业污染防治措施按照《印刷工业污染防治可行技术指南》(HJ1089-2020)和《关于印发&lt;河北省重点行业挥发性有机物污染控制技术指引&gt;》(冀环大气〔2019〕501号)中要求执行。3.全面加强原辅材料源头替代，从源头减少VOCs产生。涉VOCs重点企业全面执行《挥发性有机物无组织排放控制标准》(GB37822-2019)。选择适宜的废气治理工艺，对VOCs污染源进行有效处理。</w:t>
            </w:r>
          </w:p>
        </w:tc>
      </w:tr>
      <w:tr w14:paraId="411B9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10" w:hRule="atLeast"/>
          <w:jc w:val="center"/>
        </w:trPr>
        <w:tc>
          <w:tcPr>
            <w:tcW w:w="595" w:type="dxa"/>
            <w:vMerge w:val="continue"/>
            <w:noWrap w:val="0"/>
            <w:vAlign w:val="center"/>
          </w:tcPr>
          <w:p w14:paraId="2FF79F5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21884E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CE9172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4386D7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EE2EAF1">
            <w:pPr>
              <w:widowControl/>
              <w:spacing w:line="0" w:lineRule="atLeast"/>
              <w:jc w:val="center"/>
              <w:rPr>
                <w:rFonts w:ascii="仿宋" w:hAnsi="仿宋" w:eastAsia="仿宋" w:cs="仿宋"/>
                <w:bCs/>
                <w:spacing w:val="-10"/>
                <w:kern w:val="0"/>
                <w:sz w:val="24"/>
              </w:rPr>
            </w:pPr>
          </w:p>
        </w:tc>
        <w:tc>
          <w:tcPr>
            <w:tcW w:w="850" w:type="dxa"/>
            <w:noWrap w:val="0"/>
            <w:vAlign w:val="center"/>
          </w:tcPr>
          <w:p w14:paraId="17145AC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47547A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酒糟、滤渣等堆场应防雨、防渗。2.应对废硅藻土全部收集并妥善处置（填埋等），禁止排入下水道和环境中。3.工艺过程中产生的含VOCs废料(渣、液)满足《挥发性有机物无组织排放控制标准》(GB37822-2019)中的要求。</w:t>
            </w:r>
          </w:p>
        </w:tc>
      </w:tr>
      <w:tr w14:paraId="1BEF0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50DFE4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8956DC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86B2E6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6C317E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9D4F9A1">
            <w:pPr>
              <w:widowControl/>
              <w:spacing w:line="0" w:lineRule="atLeast"/>
              <w:jc w:val="center"/>
              <w:rPr>
                <w:rFonts w:ascii="仿宋" w:hAnsi="仿宋" w:eastAsia="仿宋" w:cs="仿宋"/>
                <w:bCs/>
                <w:spacing w:val="-10"/>
                <w:kern w:val="0"/>
                <w:sz w:val="24"/>
              </w:rPr>
            </w:pPr>
          </w:p>
        </w:tc>
        <w:tc>
          <w:tcPr>
            <w:tcW w:w="850" w:type="dxa"/>
            <w:noWrap w:val="0"/>
            <w:vAlign w:val="center"/>
          </w:tcPr>
          <w:p w14:paraId="14B9BB5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D7EE79A">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w:t>
            </w:r>
            <w:r>
              <w:rPr>
                <w:rFonts w:hint="eastAsia" w:ascii="仿宋" w:hAnsi="仿宋" w:eastAsia="仿宋" w:cs="仿宋"/>
                <w:bCs/>
                <w:spacing w:val="-10"/>
                <w:kern w:val="0"/>
                <w:sz w:val="24"/>
              </w:rPr>
              <w:t>白酒行业用水满足《水利部、工业和信息化部关于印发造纸等七项工业用水定额的通知》(水节约〔2020〕311号)中规定的工业用水定额要求。2.禁燃区内严格按照相应的高污染燃料禁燃区的通告要求执行。</w:t>
            </w:r>
          </w:p>
        </w:tc>
      </w:tr>
      <w:tr w14:paraId="1B763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BB91C9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ZH13047120153</w:t>
            </w:r>
          </w:p>
        </w:tc>
        <w:tc>
          <w:tcPr>
            <w:tcW w:w="567" w:type="dxa"/>
            <w:vMerge w:val="restart"/>
            <w:noWrap w:val="0"/>
            <w:vAlign w:val="center"/>
          </w:tcPr>
          <w:p w14:paraId="777595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3C28C4A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姚寨乡</w:t>
            </w:r>
          </w:p>
        </w:tc>
        <w:tc>
          <w:tcPr>
            <w:tcW w:w="709" w:type="dxa"/>
            <w:vMerge w:val="restart"/>
            <w:noWrap w:val="0"/>
            <w:vAlign w:val="center"/>
          </w:tcPr>
          <w:p w14:paraId="20FD7C9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662937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 高污染燃料禁燃区、邯郸经济技术开发区农产品加工园区</w:t>
            </w:r>
          </w:p>
        </w:tc>
        <w:tc>
          <w:tcPr>
            <w:tcW w:w="850" w:type="dxa"/>
            <w:noWrap w:val="0"/>
            <w:vAlign w:val="center"/>
          </w:tcPr>
          <w:p w14:paraId="29B740E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DC9A83C">
            <w:pPr>
              <w:widowControl/>
              <w:spacing w:line="0" w:lineRule="atLeast"/>
              <w:ind w:firstLine="440" w:firstLineChars="200"/>
              <w:rPr>
                <w:rFonts w:ascii="仿宋" w:hAnsi="仿宋" w:eastAsia="仿宋" w:cs="仿宋"/>
                <w:spacing w:val="-1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严格落实最新规划环评及其审查意见制定的环境准入要求；3.将原蔬菜粮食食品加工区、饲料油脂加工区、肉制品加工区纳入蔬菜粮食食品加工区内发展。</w:t>
            </w:r>
          </w:p>
        </w:tc>
      </w:tr>
      <w:tr w14:paraId="12FC7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3D9DC7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71C65F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49A270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0379E0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FAC9C37">
            <w:pPr>
              <w:widowControl/>
              <w:spacing w:line="0" w:lineRule="atLeast"/>
              <w:jc w:val="center"/>
              <w:rPr>
                <w:rFonts w:ascii="仿宋" w:hAnsi="仿宋" w:eastAsia="仿宋" w:cs="仿宋"/>
                <w:bCs/>
                <w:spacing w:val="-10"/>
                <w:kern w:val="0"/>
                <w:sz w:val="24"/>
              </w:rPr>
            </w:pPr>
          </w:p>
        </w:tc>
        <w:tc>
          <w:tcPr>
            <w:tcW w:w="850" w:type="dxa"/>
            <w:noWrap w:val="0"/>
            <w:vAlign w:val="center"/>
          </w:tcPr>
          <w:p w14:paraId="764D663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2FCB9AD6">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白酒行业水污染物排放应满足《发酵酒精和白酒工业水污染物排放标准》(GB27631-2011)中相应排放限值要求；其他运行管理要求应按照《饮料酒制造业污染防治技术政策》（公告2018年第7号）执行。2.建议印刷工业污染防治措施按照《印刷工业污染防治可行技术指南》(HJ1089-2020)和《关于印发&lt;河北省重点行业挥发性有机物污染控制技术指引&gt;》(冀环大气〔2019〕501号)中要求执行。3.全面加强原辅材料源头替代，从源头减少VOCs产生。涉VOCs重点企业全面执行《挥发性有机物无组织排放控制标准》。选择适宜的废气治理工艺，对VOCs污染源进行有效处理。</w:t>
            </w:r>
          </w:p>
        </w:tc>
      </w:tr>
      <w:tr w14:paraId="6F072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E435BA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9D6DBD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6A42AE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B445D1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A36E2EE">
            <w:pPr>
              <w:widowControl/>
              <w:spacing w:line="0" w:lineRule="atLeast"/>
              <w:jc w:val="center"/>
              <w:rPr>
                <w:rFonts w:ascii="仿宋" w:hAnsi="仿宋" w:eastAsia="仿宋" w:cs="仿宋"/>
                <w:bCs/>
                <w:spacing w:val="-10"/>
                <w:kern w:val="0"/>
                <w:sz w:val="24"/>
              </w:rPr>
            </w:pPr>
          </w:p>
        </w:tc>
        <w:tc>
          <w:tcPr>
            <w:tcW w:w="850" w:type="dxa"/>
            <w:noWrap w:val="0"/>
            <w:vAlign w:val="center"/>
          </w:tcPr>
          <w:p w14:paraId="7A5101F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AF65C45">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酒糟、滤渣等堆场应防雨、防渗。2.应对废硅藻土全部收集并妥善处置（填埋等），禁止排入下水道和环境中。3.工艺过程中产生的含VOCs废料(渣、液)应满足《挥发性有机物无组织排放控制标准》(GB37822-2019)中的要求。</w:t>
            </w:r>
          </w:p>
        </w:tc>
      </w:tr>
      <w:tr w14:paraId="6DEA6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3FC63C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80613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B4B054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4DB7DB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84A7DF2">
            <w:pPr>
              <w:widowControl/>
              <w:spacing w:line="0" w:lineRule="atLeast"/>
              <w:jc w:val="center"/>
              <w:rPr>
                <w:rFonts w:ascii="仿宋" w:hAnsi="仿宋" w:eastAsia="仿宋" w:cs="仿宋"/>
                <w:bCs/>
                <w:spacing w:val="-10"/>
                <w:kern w:val="0"/>
                <w:sz w:val="24"/>
              </w:rPr>
            </w:pPr>
          </w:p>
        </w:tc>
        <w:tc>
          <w:tcPr>
            <w:tcW w:w="850" w:type="dxa"/>
            <w:noWrap w:val="0"/>
            <w:vAlign w:val="center"/>
          </w:tcPr>
          <w:p w14:paraId="10545AB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508A0E7">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入驻企业单位工业增加值废水排放量应≤15吨/万元；单位工业增加值COD排放量≤0.5千克/万元；单位工业增加值NH3-N排放量≤0.1千克/万元。单位工业增加值NOX排放量≤3.5千克/万元；单位工业增加值SO2排放量≤1.0千克/万元。单位工业增加值颗粒物（粒径小于等于10μm）排放量≤0.308千克/万元。单位工业增加值固体废物产生量≤0.1吨/万元。2.白酒行业用水应满足《水利部、工业和信息化部关于印发造纸等七项工业用水定额的通知》(水节约〔2020〕311号)中规定的工业用水定额要求。</w:t>
            </w:r>
          </w:p>
        </w:tc>
      </w:tr>
      <w:tr w14:paraId="74E85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3F2360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ZH13047120154</w:t>
            </w:r>
          </w:p>
        </w:tc>
        <w:tc>
          <w:tcPr>
            <w:tcW w:w="567" w:type="dxa"/>
            <w:vMerge w:val="restart"/>
            <w:noWrap w:val="0"/>
            <w:vAlign w:val="center"/>
          </w:tcPr>
          <w:p w14:paraId="33BAFF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邯郸市经济技术开发区</w:t>
            </w:r>
          </w:p>
        </w:tc>
        <w:tc>
          <w:tcPr>
            <w:tcW w:w="1134" w:type="dxa"/>
            <w:vMerge w:val="restart"/>
            <w:noWrap w:val="0"/>
            <w:vAlign w:val="center"/>
          </w:tcPr>
          <w:p w14:paraId="19F594A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社会事务局、南沿村镇、尚璧镇、姚寨乡</w:t>
            </w:r>
          </w:p>
        </w:tc>
        <w:tc>
          <w:tcPr>
            <w:tcW w:w="709" w:type="dxa"/>
            <w:vMerge w:val="restart"/>
            <w:noWrap w:val="0"/>
            <w:vAlign w:val="center"/>
          </w:tcPr>
          <w:p w14:paraId="37CEF4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5320598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大气环境受体敏感重点管控区、水环境城镇生活污染重点管控区、高污染燃料禁燃区</w:t>
            </w:r>
          </w:p>
        </w:tc>
        <w:tc>
          <w:tcPr>
            <w:tcW w:w="850" w:type="dxa"/>
            <w:noWrap w:val="0"/>
            <w:vAlign w:val="center"/>
          </w:tcPr>
          <w:p w14:paraId="341545D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4A019FB">
            <w:pPr>
              <w:widowControl/>
              <w:spacing w:line="0" w:lineRule="atLeast"/>
              <w:ind w:firstLine="440" w:firstLineChars="200"/>
              <w:rPr>
                <w:rFonts w:ascii="仿宋" w:hAnsi="仿宋" w:eastAsia="仿宋" w:cs="仿宋"/>
                <w:spacing w:val="-10"/>
                <w:sz w:val="24"/>
              </w:rPr>
            </w:pPr>
            <w:r>
              <w:rPr>
                <w:rFonts w:hint="eastAsia" w:ascii="仿宋" w:hAnsi="仿宋" w:eastAsia="仿宋" w:cs="仿宋"/>
                <w:bCs/>
                <w:spacing w:val="-10"/>
                <w:kern w:val="0"/>
                <w:sz w:val="24"/>
              </w:rPr>
              <w:t>1.确保“散乱污”企业动态清零。按照中共邯郸市委邯郸市人民政府印发《邯郸市空气质量综合指数“退后十”攻坚行动方案》的通知（邯文〔2021〕12号）相应内容进行管理。2.提高VOCs排放重点行业环保准入门槛，新建涉VOCs排放的工业企业要入园区。3.禁止建设生产和使用高VOCs含量的溶剂型涂料、油墨、胶粘剂等项目。4.项目建设应考虑对周边敏感区的环境影响。</w:t>
            </w:r>
          </w:p>
        </w:tc>
      </w:tr>
      <w:tr w14:paraId="0DBC4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21CE673F">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73A98256">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2BF6D783">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19115725">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0FCE5BB5">
            <w:pPr>
              <w:widowControl/>
              <w:spacing w:line="0" w:lineRule="atLeast"/>
              <w:jc w:val="center"/>
              <w:rPr>
                <w:rFonts w:ascii="仿宋" w:hAnsi="仿宋" w:eastAsia="仿宋" w:cs="仿宋"/>
                <w:bCs/>
                <w:spacing w:val="-10"/>
                <w:kern w:val="0"/>
                <w:sz w:val="24"/>
              </w:rPr>
            </w:pPr>
          </w:p>
        </w:tc>
        <w:tc>
          <w:tcPr>
            <w:tcW w:w="850" w:type="dxa"/>
            <w:noWrap w:val="0"/>
            <w:vAlign w:val="center"/>
          </w:tcPr>
          <w:p w14:paraId="7C2ACA1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F9AE49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spacing w:val="-10"/>
                <w:sz w:val="24"/>
              </w:rPr>
              <w:t>1.挥发性有机物排放满足《工业企业挥发性有机物排放控制标准》(DB13/2322-2016)和《挥发性有机物无组织排放控制标准》(GB37822-2019)中相应排放限值要求。2.</w:t>
            </w:r>
            <w:r>
              <w:rPr>
                <w:rFonts w:hint="eastAsia" w:ascii="仿宋" w:hAnsi="仿宋" w:eastAsia="仿宋" w:cs="仿宋"/>
                <w:bCs/>
                <w:spacing w:val="-10"/>
                <w:kern w:val="0"/>
                <w:sz w:val="24"/>
              </w:rPr>
              <w:t>印刷</w:t>
            </w:r>
            <w:r>
              <w:rPr>
                <w:rFonts w:hint="eastAsia" w:ascii="仿宋" w:hAnsi="仿宋" w:eastAsia="仿宋" w:cs="仿宋"/>
                <w:spacing w:val="-10"/>
                <w:sz w:val="24"/>
              </w:rPr>
              <w:t>工业污染防治措施按照《印刷工业污染防治可行技术指南》(HJ1089-2020)和《关于印发&lt;河北省重点行业挥发性有机物污染控制技术指引&gt;》(冀环大气〔2019〕501号)中要求执行。3.全面加强原辅材料源头替代，从源头减少VOCs产生。涉VOCs重点企业全面执行《挥发性有机物无组织排放控制标准》</w:t>
            </w:r>
            <w:r>
              <w:rPr>
                <w:rFonts w:hint="eastAsia" w:ascii="仿宋" w:hAnsi="仿宋" w:eastAsia="仿宋" w:cs="仿宋"/>
                <w:bCs/>
                <w:spacing w:val="-10"/>
                <w:kern w:val="0"/>
                <w:sz w:val="24"/>
              </w:rPr>
              <w:t>(GB37822-2019)</w:t>
            </w:r>
            <w:r>
              <w:rPr>
                <w:rFonts w:hint="eastAsia" w:ascii="仿宋" w:hAnsi="仿宋" w:eastAsia="仿宋" w:cs="仿宋"/>
                <w:spacing w:val="-10"/>
                <w:sz w:val="24"/>
              </w:rPr>
              <w:t>。选择适宜的废气治理工艺，对VOCs污染源进行有效处理。</w:t>
            </w:r>
          </w:p>
        </w:tc>
      </w:tr>
      <w:tr w14:paraId="67151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2F22E886">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02D3A09D">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697E1A1E">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7BD7566A">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265F185A">
            <w:pPr>
              <w:widowControl/>
              <w:spacing w:line="0" w:lineRule="atLeast"/>
              <w:jc w:val="center"/>
              <w:rPr>
                <w:rFonts w:ascii="仿宋" w:hAnsi="仿宋" w:eastAsia="仿宋" w:cs="仿宋"/>
                <w:bCs/>
                <w:spacing w:val="-10"/>
                <w:kern w:val="0"/>
                <w:sz w:val="24"/>
              </w:rPr>
            </w:pPr>
          </w:p>
        </w:tc>
        <w:tc>
          <w:tcPr>
            <w:tcW w:w="850" w:type="dxa"/>
            <w:noWrap w:val="0"/>
            <w:vAlign w:val="center"/>
          </w:tcPr>
          <w:p w14:paraId="5051C46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C9F0FA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spacing w:val="-10"/>
                <w:sz w:val="24"/>
              </w:rPr>
              <w:t>1.工艺过程中产生的含VOCs废料(渣、液)满足《挥发性有机物无组织排放控制标准》(GB37822-2019)中的要求。</w:t>
            </w:r>
          </w:p>
        </w:tc>
      </w:tr>
      <w:tr w14:paraId="181F3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top"/>
          </w:tcPr>
          <w:p w14:paraId="0CE42993">
            <w:pPr>
              <w:widowControl/>
              <w:spacing w:line="0" w:lineRule="atLeast"/>
              <w:jc w:val="center"/>
              <w:rPr>
                <w:rFonts w:ascii="仿宋" w:hAnsi="仿宋" w:eastAsia="仿宋" w:cs="仿宋"/>
                <w:bCs/>
                <w:spacing w:val="-10"/>
                <w:kern w:val="0"/>
                <w:sz w:val="24"/>
              </w:rPr>
            </w:pPr>
          </w:p>
        </w:tc>
        <w:tc>
          <w:tcPr>
            <w:tcW w:w="567" w:type="dxa"/>
            <w:vMerge w:val="continue"/>
            <w:noWrap w:val="0"/>
            <w:vAlign w:val="top"/>
          </w:tcPr>
          <w:p w14:paraId="4DDED1CB">
            <w:pPr>
              <w:widowControl/>
              <w:spacing w:line="0" w:lineRule="atLeast"/>
              <w:jc w:val="center"/>
              <w:rPr>
                <w:rFonts w:ascii="仿宋" w:hAnsi="仿宋" w:eastAsia="仿宋" w:cs="仿宋"/>
                <w:bCs/>
                <w:spacing w:val="-10"/>
                <w:kern w:val="0"/>
                <w:sz w:val="24"/>
              </w:rPr>
            </w:pPr>
          </w:p>
        </w:tc>
        <w:tc>
          <w:tcPr>
            <w:tcW w:w="1134" w:type="dxa"/>
            <w:vMerge w:val="continue"/>
            <w:noWrap w:val="0"/>
            <w:vAlign w:val="top"/>
          </w:tcPr>
          <w:p w14:paraId="6FD390BF">
            <w:pPr>
              <w:widowControl/>
              <w:spacing w:line="0" w:lineRule="atLeast"/>
              <w:jc w:val="center"/>
              <w:rPr>
                <w:rFonts w:ascii="仿宋" w:hAnsi="仿宋" w:eastAsia="仿宋" w:cs="仿宋"/>
                <w:bCs/>
                <w:spacing w:val="-10"/>
                <w:kern w:val="0"/>
                <w:sz w:val="24"/>
              </w:rPr>
            </w:pPr>
          </w:p>
        </w:tc>
        <w:tc>
          <w:tcPr>
            <w:tcW w:w="709" w:type="dxa"/>
            <w:vMerge w:val="continue"/>
            <w:noWrap w:val="0"/>
            <w:vAlign w:val="top"/>
          </w:tcPr>
          <w:p w14:paraId="3F52B652">
            <w:pPr>
              <w:widowControl/>
              <w:spacing w:line="0" w:lineRule="atLeast"/>
              <w:jc w:val="center"/>
              <w:rPr>
                <w:rFonts w:ascii="仿宋" w:hAnsi="仿宋" w:eastAsia="仿宋" w:cs="仿宋"/>
                <w:bCs/>
                <w:spacing w:val="-10"/>
                <w:kern w:val="0"/>
                <w:sz w:val="24"/>
              </w:rPr>
            </w:pPr>
          </w:p>
        </w:tc>
        <w:tc>
          <w:tcPr>
            <w:tcW w:w="851" w:type="dxa"/>
            <w:vMerge w:val="continue"/>
            <w:noWrap w:val="0"/>
            <w:vAlign w:val="top"/>
          </w:tcPr>
          <w:p w14:paraId="5DC89F6A">
            <w:pPr>
              <w:widowControl/>
              <w:spacing w:line="0" w:lineRule="atLeast"/>
              <w:jc w:val="center"/>
              <w:rPr>
                <w:rFonts w:ascii="仿宋" w:hAnsi="仿宋" w:eastAsia="仿宋" w:cs="仿宋"/>
                <w:bCs/>
                <w:spacing w:val="-10"/>
                <w:kern w:val="0"/>
                <w:sz w:val="24"/>
              </w:rPr>
            </w:pPr>
          </w:p>
        </w:tc>
        <w:tc>
          <w:tcPr>
            <w:tcW w:w="850" w:type="dxa"/>
            <w:noWrap w:val="0"/>
            <w:vAlign w:val="center"/>
          </w:tcPr>
          <w:p w14:paraId="4FE5856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2C6DF7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禁燃区内严格按照相应的高污染燃料禁燃区的通告要求执行。</w:t>
            </w:r>
          </w:p>
        </w:tc>
      </w:tr>
    </w:tbl>
    <w:p w14:paraId="4298554B">
      <w:pPr>
        <w:pStyle w:val="10"/>
        <w:numPr>
          <w:ilvl w:val="1"/>
          <w:numId w:val="0"/>
        </w:numPr>
        <w:spacing w:beforeLines="50"/>
        <w:ind w:firstLine="562" w:firstLineChars="200"/>
        <w:outlineLvl w:val="1"/>
        <w:rPr>
          <w:rFonts w:ascii="仿宋" w:hAnsi="仿宋" w:eastAsia="仿宋" w:cs="仿宋"/>
        </w:rPr>
      </w:pPr>
      <w:r>
        <w:rPr>
          <w:rFonts w:hint="eastAsia" w:ascii="仿宋" w:hAnsi="仿宋" w:eastAsia="仿宋" w:cs="仿宋"/>
          <w:b/>
          <w:sz w:val="28"/>
          <w:szCs w:val="18"/>
        </w:rPr>
        <w:br w:type="page"/>
      </w:r>
      <w:r>
        <w:rPr>
          <w:rFonts w:hint="eastAsia" w:ascii="仿宋" w:hAnsi="仿宋" w:eastAsia="仿宋" w:cs="仿宋"/>
          <w:bCs/>
          <w:sz w:val="32"/>
          <w:szCs w:val="32"/>
        </w:rPr>
        <w:t>（十九）冀南新区生态环境准入清单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0"/>
        <w:gridCol w:w="4195"/>
      </w:tblGrid>
      <w:tr w14:paraId="7548A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blHeader/>
          <w:jc w:val="center"/>
        </w:trPr>
        <w:tc>
          <w:tcPr>
            <w:tcW w:w="595" w:type="dxa"/>
            <w:shd w:val="clear" w:color="auto" w:fill="D7D7D7"/>
            <w:noWrap w:val="0"/>
            <w:vAlign w:val="center"/>
          </w:tcPr>
          <w:p w14:paraId="41A59866">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3B2B447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5D79BCC7">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2BE6664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56AE866C">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19753D00">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741AD2E1">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0217E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902AAE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ZH13047310152</w:t>
            </w:r>
          </w:p>
        </w:tc>
        <w:tc>
          <w:tcPr>
            <w:tcW w:w="567" w:type="dxa"/>
            <w:vMerge w:val="restart"/>
            <w:noWrap w:val="0"/>
            <w:vAlign w:val="center"/>
          </w:tcPr>
          <w:p w14:paraId="10B7264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2C45816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高臾镇、辛庄营乡、花官营乡、林坦镇</w:t>
            </w:r>
          </w:p>
        </w:tc>
        <w:tc>
          <w:tcPr>
            <w:tcW w:w="709" w:type="dxa"/>
            <w:vMerge w:val="restart"/>
            <w:noWrap w:val="0"/>
            <w:vAlign w:val="center"/>
          </w:tcPr>
          <w:p w14:paraId="7895B3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2CA2A3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河湖滨岸带生</w:t>
            </w:r>
          </w:p>
        </w:tc>
        <w:tc>
          <w:tcPr>
            <w:tcW w:w="850" w:type="dxa"/>
            <w:noWrap w:val="0"/>
            <w:vAlign w:val="center"/>
          </w:tcPr>
          <w:p w14:paraId="4B7EB05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725B56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满足《中华人民共和国河道管理条例》相关要求。</w:t>
            </w:r>
          </w:p>
        </w:tc>
      </w:tr>
      <w:tr w14:paraId="00BD7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A4E1ABF">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47231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18796BB">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F0DF0F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43FB4AE">
            <w:pPr>
              <w:widowControl/>
              <w:spacing w:line="0" w:lineRule="atLeast"/>
              <w:jc w:val="center"/>
              <w:rPr>
                <w:rFonts w:ascii="仿宋" w:hAnsi="仿宋" w:eastAsia="仿宋" w:cs="仿宋"/>
                <w:bCs/>
                <w:spacing w:val="-10"/>
                <w:kern w:val="0"/>
                <w:sz w:val="24"/>
              </w:rPr>
            </w:pPr>
          </w:p>
        </w:tc>
        <w:tc>
          <w:tcPr>
            <w:tcW w:w="850" w:type="dxa"/>
            <w:noWrap w:val="0"/>
            <w:vAlign w:val="center"/>
          </w:tcPr>
          <w:p w14:paraId="4B2DF5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1064113">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0F356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7B70AE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B6080B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4C531D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DBBC7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BCBAF26">
            <w:pPr>
              <w:widowControl/>
              <w:spacing w:line="0" w:lineRule="atLeast"/>
              <w:jc w:val="center"/>
              <w:rPr>
                <w:rFonts w:ascii="仿宋" w:hAnsi="仿宋" w:eastAsia="仿宋" w:cs="仿宋"/>
                <w:bCs/>
                <w:spacing w:val="-10"/>
                <w:kern w:val="0"/>
                <w:sz w:val="24"/>
              </w:rPr>
            </w:pPr>
          </w:p>
        </w:tc>
        <w:tc>
          <w:tcPr>
            <w:tcW w:w="850" w:type="dxa"/>
            <w:noWrap w:val="0"/>
            <w:vAlign w:val="center"/>
          </w:tcPr>
          <w:p w14:paraId="7963A4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EDCA40F">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5B327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3EF54A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69231D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D9FEC3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863771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96BE997">
            <w:pPr>
              <w:widowControl/>
              <w:spacing w:line="0" w:lineRule="atLeast"/>
              <w:jc w:val="center"/>
              <w:rPr>
                <w:rFonts w:ascii="仿宋" w:hAnsi="仿宋" w:eastAsia="仿宋" w:cs="仿宋"/>
                <w:bCs/>
                <w:spacing w:val="-10"/>
                <w:kern w:val="0"/>
                <w:sz w:val="24"/>
              </w:rPr>
            </w:pPr>
          </w:p>
        </w:tc>
        <w:tc>
          <w:tcPr>
            <w:tcW w:w="850" w:type="dxa"/>
            <w:noWrap w:val="0"/>
            <w:vAlign w:val="center"/>
          </w:tcPr>
          <w:p w14:paraId="67C748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C97B61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2824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FBB39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ZH13047310153</w:t>
            </w:r>
          </w:p>
        </w:tc>
        <w:tc>
          <w:tcPr>
            <w:tcW w:w="567" w:type="dxa"/>
            <w:vMerge w:val="restart"/>
            <w:noWrap w:val="0"/>
            <w:vAlign w:val="center"/>
          </w:tcPr>
          <w:p w14:paraId="388AD80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5011CF8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南城乡、台城乡</w:t>
            </w:r>
          </w:p>
        </w:tc>
        <w:tc>
          <w:tcPr>
            <w:tcW w:w="709" w:type="dxa"/>
            <w:vMerge w:val="restart"/>
            <w:noWrap w:val="0"/>
            <w:vAlign w:val="center"/>
          </w:tcPr>
          <w:p w14:paraId="12F05B1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029D6F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河北平原河湖滨岸带生态保护红线</w:t>
            </w:r>
          </w:p>
        </w:tc>
        <w:tc>
          <w:tcPr>
            <w:tcW w:w="850" w:type="dxa"/>
            <w:noWrap w:val="0"/>
            <w:vAlign w:val="center"/>
          </w:tcPr>
          <w:p w14:paraId="681B5E4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54B805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1.满足生态保护红线相关要求。2.满足《中华人民共和国河道管理条例》相关要求。</w:t>
            </w:r>
          </w:p>
        </w:tc>
      </w:tr>
      <w:tr w14:paraId="246110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95F140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BC2497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849AFF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109A91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D5DCC1F">
            <w:pPr>
              <w:widowControl/>
              <w:spacing w:line="0" w:lineRule="atLeast"/>
              <w:jc w:val="center"/>
              <w:rPr>
                <w:rFonts w:ascii="仿宋" w:hAnsi="仿宋" w:eastAsia="仿宋" w:cs="仿宋"/>
                <w:bCs/>
                <w:spacing w:val="-10"/>
                <w:kern w:val="0"/>
                <w:sz w:val="24"/>
              </w:rPr>
            </w:pPr>
          </w:p>
        </w:tc>
        <w:tc>
          <w:tcPr>
            <w:tcW w:w="850" w:type="dxa"/>
            <w:noWrap w:val="0"/>
            <w:vAlign w:val="center"/>
          </w:tcPr>
          <w:p w14:paraId="2AF344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FE28771">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15598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7E272F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8E574D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4EF0D8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3F9B60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773A0BC">
            <w:pPr>
              <w:widowControl/>
              <w:spacing w:line="0" w:lineRule="atLeast"/>
              <w:jc w:val="center"/>
              <w:rPr>
                <w:rFonts w:ascii="仿宋" w:hAnsi="仿宋" w:eastAsia="仿宋" w:cs="仿宋"/>
                <w:bCs/>
                <w:spacing w:val="-10"/>
                <w:kern w:val="0"/>
                <w:sz w:val="24"/>
              </w:rPr>
            </w:pPr>
          </w:p>
        </w:tc>
        <w:tc>
          <w:tcPr>
            <w:tcW w:w="850" w:type="dxa"/>
            <w:noWrap w:val="0"/>
            <w:vAlign w:val="center"/>
          </w:tcPr>
          <w:p w14:paraId="6F0CF7D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7167F4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25E75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80608C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387A43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39FC53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4B81D4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5107556">
            <w:pPr>
              <w:widowControl/>
              <w:spacing w:line="0" w:lineRule="atLeast"/>
              <w:jc w:val="center"/>
              <w:rPr>
                <w:rFonts w:ascii="仿宋" w:hAnsi="仿宋" w:eastAsia="仿宋" w:cs="仿宋"/>
                <w:bCs/>
                <w:spacing w:val="-10"/>
                <w:kern w:val="0"/>
                <w:sz w:val="24"/>
              </w:rPr>
            </w:pPr>
          </w:p>
        </w:tc>
        <w:tc>
          <w:tcPr>
            <w:tcW w:w="850" w:type="dxa"/>
            <w:noWrap w:val="0"/>
            <w:vAlign w:val="center"/>
          </w:tcPr>
          <w:p w14:paraId="2695762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51277F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1842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3C21A6B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ZH13047310154</w:t>
            </w:r>
          </w:p>
        </w:tc>
        <w:tc>
          <w:tcPr>
            <w:tcW w:w="567" w:type="dxa"/>
            <w:vMerge w:val="restart"/>
            <w:noWrap w:val="0"/>
            <w:vAlign w:val="center"/>
          </w:tcPr>
          <w:p w14:paraId="5882AE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21235C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林坦镇、南城乡、台城乡</w:t>
            </w:r>
          </w:p>
        </w:tc>
        <w:tc>
          <w:tcPr>
            <w:tcW w:w="709" w:type="dxa"/>
            <w:vMerge w:val="restart"/>
            <w:noWrap w:val="0"/>
            <w:vAlign w:val="center"/>
          </w:tcPr>
          <w:p w14:paraId="7A84A9A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7CC918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重要引调水通道、南水北调中线</w:t>
            </w:r>
          </w:p>
        </w:tc>
        <w:tc>
          <w:tcPr>
            <w:tcW w:w="850" w:type="dxa"/>
            <w:noWrap w:val="0"/>
            <w:vAlign w:val="center"/>
          </w:tcPr>
          <w:p w14:paraId="0BE000F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15A0A3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22340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3CC63C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2C1FF0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1214C1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1E7093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602D9C6">
            <w:pPr>
              <w:widowControl/>
              <w:spacing w:line="0" w:lineRule="atLeast"/>
              <w:jc w:val="center"/>
              <w:rPr>
                <w:rFonts w:ascii="仿宋" w:hAnsi="仿宋" w:eastAsia="仿宋" w:cs="仿宋"/>
                <w:bCs/>
                <w:spacing w:val="-10"/>
                <w:kern w:val="0"/>
                <w:sz w:val="24"/>
              </w:rPr>
            </w:pPr>
          </w:p>
        </w:tc>
        <w:tc>
          <w:tcPr>
            <w:tcW w:w="850" w:type="dxa"/>
            <w:noWrap w:val="0"/>
            <w:vAlign w:val="center"/>
          </w:tcPr>
          <w:p w14:paraId="21AE4B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A3FBB5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按照《南水北调中线一期工程总干渠河北段饮用水水源保护区划定和完善方案》中相应水源保护区的管控要求。</w:t>
            </w:r>
          </w:p>
        </w:tc>
      </w:tr>
      <w:tr w14:paraId="37EE9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A72910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C979C0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6CAB2C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563517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B04BEDF">
            <w:pPr>
              <w:widowControl/>
              <w:spacing w:line="0" w:lineRule="atLeast"/>
              <w:jc w:val="center"/>
              <w:rPr>
                <w:rFonts w:ascii="仿宋" w:hAnsi="仿宋" w:eastAsia="仿宋" w:cs="仿宋"/>
                <w:bCs/>
                <w:spacing w:val="-10"/>
                <w:kern w:val="0"/>
                <w:sz w:val="24"/>
              </w:rPr>
            </w:pPr>
          </w:p>
        </w:tc>
        <w:tc>
          <w:tcPr>
            <w:tcW w:w="850" w:type="dxa"/>
            <w:noWrap w:val="0"/>
            <w:vAlign w:val="center"/>
          </w:tcPr>
          <w:p w14:paraId="730EC1C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B8B6B0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08058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D1A732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8CCA3C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2AA2A0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75364F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38D43EB">
            <w:pPr>
              <w:widowControl/>
              <w:spacing w:line="0" w:lineRule="atLeast"/>
              <w:jc w:val="center"/>
              <w:rPr>
                <w:rFonts w:ascii="仿宋" w:hAnsi="仿宋" w:eastAsia="仿宋" w:cs="仿宋"/>
                <w:bCs/>
                <w:spacing w:val="-10"/>
                <w:kern w:val="0"/>
                <w:sz w:val="24"/>
              </w:rPr>
            </w:pPr>
          </w:p>
        </w:tc>
        <w:tc>
          <w:tcPr>
            <w:tcW w:w="850" w:type="dxa"/>
            <w:noWrap w:val="0"/>
            <w:vAlign w:val="center"/>
          </w:tcPr>
          <w:p w14:paraId="0B7AC6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840284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5640A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DFB779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ZH13047320156</w:t>
            </w:r>
          </w:p>
        </w:tc>
        <w:tc>
          <w:tcPr>
            <w:tcW w:w="567" w:type="dxa"/>
            <w:vMerge w:val="restart"/>
            <w:noWrap w:val="0"/>
            <w:vAlign w:val="center"/>
          </w:tcPr>
          <w:p w14:paraId="3180DE7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2EECE35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花官营乡、马头镇、台城乡</w:t>
            </w:r>
          </w:p>
        </w:tc>
        <w:tc>
          <w:tcPr>
            <w:tcW w:w="709" w:type="dxa"/>
            <w:vMerge w:val="restart"/>
            <w:noWrap w:val="0"/>
            <w:vAlign w:val="center"/>
          </w:tcPr>
          <w:p w14:paraId="5D336FD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6EA7E91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大气环境布局敏感重点管控区、高污染燃料禁燃区</w:t>
            </w:r>
          </w:p>
        </w:tc>
        <w:tc>
          <w:tcPr>
            <w:tcW w:w="850" w:type="dxa"/>
            <w:noWrap w:val="0"/>
            <w:vAlign w:val="center"/>
          </w:tcPr>
          <w:p w14:paraId="1F32302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CBBC96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新上3000万平方米/年(不含)以下的纸面石膏板生产线、15万平方米/年(不含)以下的石膏(空心)砌块生产线。2.禁止新建和扩建(等量置换或脱硫石膏除外)石灰和石膏制造。3.限制开采石膏项目。4.企业的布局及厂址的确定应符合国家相关法律法规、产业政策以及各地方政府装备制造业和铸造行业的总体规划要求。5.企业规模、生产工艺、生产装备、质量控制和能源消耗、环境保护等指标要求满足《铸造企业规范条件》(T/CFA0310021-2019)中相应指标要求。</w:t>
            </w:r>
          </w:p>
        </w:tc>
      </w:tr>
      <w:tr w14:paraId="125FD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3CE4F1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E31458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11D0F6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2DF42C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71F95E1">
            <w:pPr>
              <w:widowControl/>
              <w:spacing w:line="0" w:lineRule="atLeast"/>
              <w:jc w:val="center"/>
              <w:rPr>
                <w:rFonts w:ascii="仿宋" w:hAnsi="仿宋" w:eastAsia="仿宋" w:cs="仿宋"/>
                <w:bCs/>
                <w:spacing w:val="-10"/>
                <w:kern w:val="0"/>
                <w:sz w:val="24"/>
              </w:rPr>
            </w:pPr>
          </w:p>
        </w:tc>
        <w:tc>
          <w:tcPr>
            <w:tcW w:w="850" w:type="dxa"/>
            <w:noWrap w:val="0"/>
            <w:vAlign w:val="center"/>
          </w:tcPr>
          <w:p w14:paraId="0F8C99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top"/>
          </w:tcPr>
          <w:p w14:paraId="528C729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石灰和石膏制造行业污染物排放满足《石灰行业大气污染物排放标准》（DB13/1641-2012）中相应排放限值要求。独立的石灰窑行业参照执行《河北省钢铁工业大气污染物超低排放标准》(DB13/2169-2018)规定的石灰窑排放标准。2.铸造工业污染物排放满足《铸造工业大气污染物排放标准》(GB39726-2020)及地方标准中相应排放限值要求。3.钢铁、水泥、平板玻璃、陶瓷、焦化、铸造行业企业料堆场按照《煤场、料场、渣场扬尘污染控制技术规范》(DB13/T2352-2016)存储要求，实现规范管理。</w:t>
            </w:r>
          </w:p>
        </w:tc>
      </w:tr>
      <w:tr w14:paraId="32CB9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364994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88AFBC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8C2D0F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66B7C7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77FE72F">
            <w:pPr>
              <w:widowControl/>
              <w:spacing w:line="0" w:lineRule="atLeast"/>
              <w:jc w:val="center"/>
              <w:rPr>
                <w:rFonts w:ascii="仿宋" w:hAnsi="仿宋" w:eastAsia="仿宋" w:cs="仿宋"/>
                <w:bCs/>
                <w:spacing w:val="-10"/>
                <w:kern w:val="0"/>
                <w:sz w:val="24"/>
              </w:rPr>
            </w:pPr>
          </w:p>
        </w:tc>
        <w:tc>
          <w:tcPr>
            <w:tcW w:w="850" w:type="dxa"/>
            <w:noWrap w:val="0"/>
            <w:vAlign w:val="center"/>
          </w:tcPr>
          <w:p w14:paraId="257CA23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5C42623F">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编制《环境风险应急预案》，成立应急组织机构，定期开展应急演练，提高区域环境风险防范能力。建立有效的事故风险防范体系。</w:t>
            </w:r>
          </w:p>
        </w:tc>
      </w:tr>
      <w:tr w14:paraId="12A91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D2FA6E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69BDB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B8CA9C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096761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52DCF17">
            <w:pPr>
              <w:widowControl/>
              <w:spacing w:line="0" w:lineRule="atLeast"/>
              <w:jc w:val="center"/>
              <w:rPr>
                <w:rFonts w:ascii="仿宋" w:hAnsi="仿宋" w:eastAsia="仿宋" w:cs="仿宋"/>
                <w:bCs/>
                <w:spacing w:val="-10"/>
                <w:kern w:val="0"/>
                <w:sz w:val="24"/>
              </w:rPr>
            </w:pPr>
          </w:p>
        </w:tc>
        <w:tc>
          <w:tcPr>
            <w:tcW w:w="850" w:type="dxa"/>
            <w:noWrap w:val="0"/>
            <w:vAlign w:val="center"/>
          </w:tcPr>
          <w:p w14:paraId="71CFD54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200F207">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1.具备条件的石灰窑烧制热源改为天然气、电和焦炉高炉煤气等清洁能源。2.</w:t>
            </w:r>
            <w:r>
              <w:rPr>
                <w:rFonts w:hint="eastAsia" w:ascii="仿宋" w:hAnsi="仿宋" w:eastAsia="仿宋" w:cs="仿宋"/>
                <w:bCs/>
                <w:spacing w:val="-10"/>
                <w:kern w:val="0"/>
                <w:sz w:val="24"/>
              </w:rPr>
              <w:t>禁燃区内严格按照相应的高污染燃料禁燃区的通告要求执行。</w:t>
            </w:r>
          </w:p>
        </w:tc>
      </w:tr>
      <w:tr w14:paraId="34434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BF350E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ZH13047320157</w:t>
            </w:r>
          </w:p>
        </w:tc>
        <w:tc>
          <w:tcPr>
            <w:tcW w:w="567" w:type="dxa"/>
            <w:vMerge w:val="restart"/>
            <w:noWrap w:val="0"/>
            <w:vAlign w:val="center"/>
          </w:tcPr>
          <w:p w14:paraId="77609F0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40B2EE7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高臾镇、花官营乡、马头镇、台城乡、辛庄营乡</w:t>
            </w:r>
          </w:p>
        </w:tc>
        <w:tc>
          <w:tcPr>
            <w:tcW w:w="709" w:type="dxa"/>
            <w:vMerge w:val="restart"/>
            <w:noWrap w:val="0"/>
            <w:vAlign w:val="center"/>
          </w:tcPr>
          <w:p w14:paraId="5242D7B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8FB81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w:t>
            </w:r>
            <w:r>
              <w:rPr>
                <w:rFonts w:hint="eastAsia" w:ascii="仿宋" w:hAnsi="仿宋" w:eastAsia="仿宋" w:cs="仿宋"/>
                <w:bCs/>
                <w:spacing w:val="-24"/>
                <w:kern w:val="0"/>
                <w:sz w:val="24"/>
              </w:rPr>
              <w:t>气环境高排放重点管控区、水环境工业污染重点管控区、邯郸高新技术产业开发区、高污染燃料禁燃</w:t>
            </w:r>
            <w:r>
              <w:rPr>
                <w:rFonts w:hint="eastAsia" w:ascii="仿宋" w:hAnsi="仿宋" w:eastAsia="仿宋" w:cs="仿宋"/>
                <w:bCs/>
                <w:spacing w:val="-10"/>
                <w:kern w:val="0"/>
                <w:sz w:val="24"/>
              </w:rPr>
              <w:t xml:space="preserve">区 </w:t>
            </w:r>
          </w:p>
        </w:tc>
        <w:tc>
          <w:tcPr>
            <w:tcW w:w="850" w:type="dxa"/>
            <w:noWrap w:val="0"/>
            <w:vAlign w:val="center"/>
          </w:tcPr>
          <w:p w14:paraId="3D837AE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top"/>
          </w:tcPr>
          <w:p w14:paraId="33326B4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发展和规划主导产业无关的建设项目；《产业结构调整指导目录(2019年)》中规定的限制类、淘汰类项目；清洁生产水平不能达到国内先进水平的建设项目。2.禁止建设资源能源消耗指标高于规划指标值的建设项目。</w:t>
            </w:r>
          </w:p>
        </w:tc>
      </w:tr>
      <w:tr w14:paraId="77B2D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EF7E2C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DB471E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028297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1151F6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3AC3FFE">
            <w:pPr>
              <w:widowControl/>
              <w:spacing w:line="0" w:lineRule="atLeast"/>
              <w:jc w:val="center"/>
              <w:rPr>
                <w:rFonts w:ascii="仿宋" w:hAnsi="仿宋" w:eastAsia="仿宋" w:cs="仿宋"/>
                <w:bCs/>
                <w:spacing w:val="-10"/>
                <w:kern w:val="0"/>
                <w:sz w:val="24"/>
              </w:rPr>
            </w:pPr>
          </w:p>
        </w:tc>
        <w:tc>
          <w:tcPr>
            <w:tcW w:w="850" w:type="dxa"/>
            <w:noWrap w:val="0"/>
            <w:vAlign w:val="center"/>
          </w:tcPr>
          <w:p w14:paraId="3C9EF45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9404F2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集中供热锅炉污染物排放满足《锅炉大气污染物排放标准》（DB13/5161-2020）相应排放限值要求。2.开发区内工业炉窑污染物排放满足《工业炉窑大气污染物排放标准》（DB13/1640-2012）中的相应排放限值要求，并满足《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3BCAB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C8F47F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F17E37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FCEBF2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4F95C9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5BF26A8">
            <w:pPr>
              <w:widowControl/>
              <w:spacing w:line="0" w:lineRule="atLeast"/>
              <w:jc w:val="center"/>
              <w:rPr>
                <w:rFonts w:ascii="仿宋" w:hAnsi="仿宋" w:eastAsia="仿宋" w:cs="仿宋"/>
                <w:bCs/>
                <w:spacing w:val="-10"/>
                <w:kern w:val="0"/>
                <w:sz w:val="24"/>
              </w:rPr>
            </w:pPr>
          </w:p>
        </w:tc>
        <w:tc>
          <w:tcPr>
            <w:tcW w:w="850" w:type="dxa"/>
            <w:noWrap w:val="0"/>
            <w:vAlign w:val="center"/>
          </w:tcPr>
          <w:p w14:paraId="56DFF44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top"/>
          </w:tcPr>
          <w:p w14:paraId="2BECFEA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开发区及入区企业需组织编制《环境风险应急预案》，成立应急组织机构，定期开展应急演练，提高区域环境风险防范能力。建立有效的事故风险防范体系，使开发区建设和环境保护协调发展。</w:t>
            </w:r>
          </w:p>
        </w:tc>
      </w:tr>
      <w:tr w14:paraId="4AF5E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50" w:hRule="atLeast"/>
          <w:jc w:val="center"/>
        </w:trPr>
        <w:tc>
          <w:tcPr>
            <w:tcW w:w="595" w:type="dxa"/>
            <w:vMerge w:val="continue"/>
            <w:noWrap w:val="0"/>
            <w:vAlign w:val="center"/>
          </w:tcPr>
          <w:p w14:paraId="37A33BC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721C9A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006027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037911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1C8F863">
            <w:pPr>
              <w:widowControl/>
              <w:spacing w:line="0" w:lineRule="atLeast"/>
              <w:jc w:val="center"/>
              <w:rPr>
                <w:rFonts w:ascii="仿宋" w:hAnsi="仿宋" w:eastAsia="仿宋" w:cs="仿宋"/>
                <w:bCs/>
                <w:spacing w:val="-10"/>
                <w:kern w:val="0"/>
                <w:sz w:val="24"/>
              </w:rPr>
            </w:pPr>
          </w:p>
        </w:tc>
        <w:tc>
          <w:tcPr>
            <w:tcW w:w="850" w:type="dxa"/>
            <w:noWrap w:val="0"/>
            <w:vAlign w:val="center"/>
          </w:tcPr>
          <w:p w14:paraId="48497E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top"/>
          </w:tcPr>
          <w:p w14:paraId="55F324BB">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1.减少新鲜水用量，提高中水回用率。鼓励锅炉、工业炉窑进行余热利用。2.新建产业园区应按生态工业园区标准进行规划建设。3.</w:t>
            </w:r>
            <w:r>
              <w:rPr>
                <w:rFonts w:hint="eastAsia" w:ascii="仿宋" w:hAnsi="仿宋" w:eastAsia="仿宋" w:cs="仿宋"/>
                <w:bCs/>
                <w:spacing w:val="-10"/>
                <w:kern w:val="0"/>
                <w:sz w:val="24"/>
              </w:rPr>
              <w:t>禁燃区内严格按照相应的高污染燃料禁燃区的通告要求执行。</w:t>
            </w:r>
          </w:p>
        </w:tc>
      </w:tr>
      <w:tr w14:paraId="51411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87" w:hRule="atLeast"/>
          <w:jc w:val="center"/>
        </w:trPr>
        <w:tc>
          <w:tcPr>
            <w:tcW w:w="595" w:type="dxa"/>
            <w:vMerge w:val="restart"/>
            <w:noWrap w:val="0"/>
            <w:vAlign w:val="center"/>
          </w:tcPr>
          <w:p w14:paraId="318F8DF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ZH13047320158</w:t>
            </w:r>
          </w:p>
        </w:tc>
        <w:tc>
          <w:tcPr>
            <w:tcW w:w="567" w:type="dxa"/>
            <w:vMerge w:val="restart"/>
            <w:noWrap w:val="0"/>
            <w:vAlign w:val="center"/>
          </w:tcPr>
          <w:p w14:paraId="4C63DD0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1C8A727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林坦镇、台城乡</w:t>
            </w:r>
          </w:p>
        </w:tc>
        <w:tc>
          <w:tcPr>
            <w:tcW w:w="709" w:type="dxa"/>
            <w:vMerge w:val="restart"/>
            <w:noWrap w:val="0"/>
            <w:vAlign w:val="center"/>
          </w:tcPr>
          <w:p w14:paraId="7FEA836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17AC85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大气环境高排放重点管控区、水环境工业污染重点管控区、邯郸高新技术产业开发区（林坛工业园）、高污染燃料禁燃区</w:t>
            </w:r>
          </w:p>
        </w:tc>
        <w:tc>
          <w:tcPr>
            <w:tcW w:w="850" w:type="dxa"/>
            <w:noWrap w:val="0"/>
            <w:vAlign w:val="center"/>
          </w:tcPr>
          <w:p w14:paraId="1B6B3DC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top"/>
          </w:tcPr>
          <w:p w14:paraId="7811716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w:t>
            </w:r>
          </w:p>
        </w:tc>
      </w:tr>
      <w:tr w14:paraId="01E12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31" w:hRule="atLeast"/>
          <w:jc w:val="center"/>
        </w:trPr>
        <w:tc>
          <w:tcPr>
            <w:tcW w:w="595" w:type="dxa"/>
            <w:vMerge w:val="continue"/>
            <w:noWrap w:val="0"/>
            <w:vAlign w:val="center"/>
          </w:tcPr>
          <w:p w14:paraId="1AB53AA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BBA152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7BE7B7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C62160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B7B82F8">
            <w:pPr>
              <w:widowControl/>
              <w:spacing w:line="0" w:lineRule="atLeast"/>
              <w:jc w:val="center"/>
              <w:rPr>
                <w:rFonts w:ascii="仿宋" w:hAnsi="仿宋" w:eastAsia="仿宋" w:cs="仿宋"/>
                <w:bCs/>
                <w:spacing w:val="-10"/>
                <w:kern w:val="0"/>
                <w:sz w:val="24"/>
              </w:rPr>
            </w:pPr>
          </w:p>
        </w:tc>
        <w:tc>
          <w:tcPr>
            <w:tcW w:w="850" w:type="dxa"/>
            <w:noWrap w:val="0"/>
            <w:vAlign w:val="center"/>
          </w:tcPr>
          <w:p w14:paraId="2C13BEC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BA7F94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园区集中供热锅炉污染物排放满足《锅炉大气污染物排放标准》（DB13/5161-2020）相应排放限值要求。2.开发区内工业炉窑污染物排放满足《工业炉窑大气污染物排放标准》（DB13/1640-2012）中的相应排放限值要求，并满足《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360C3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39" w:hRule="atLeast"/>
          <w:jc w:val="center"/>
        </w:trPr>
        <w:tc>
          <w:tcPr>
            <w:tcW w:w="595" w:type="dxa"/>
            <w:vMerge w:val="continue"/>
            <w:noWrap w:val="0"/>
            <w:vAlign w:val="center"/>
          </w:tcPr>
          <w:p w14:paraId="3DF8400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CBCA66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B1EE39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31EF09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CFAD845">
            <w:pPr>
              <w:widowControl/>
              <w:spacing w:line="0" w:lineRule="atLeast"/>
              <w:jc w:val="center"/>
              <w:rPr>
                <w:rFonts w:ascii="仿宋" w:hAnsi="仿宋" w:eastAsia="仿宋" w:cs="仿宋"/>
                <w:bCs/>
                <w:spacing w:val="-10"/>
                <w:kern w:val="0"/>
                <w:sz w:val="24"/>
              </w:rPr>
            </w:pPr>
          </w:p>
        </w:tc>
        <w:tc>
          <w:tcPr>
            <w:tcW w:w="850" w:type="dxa"/>
            <w:noWrap w:val="0"/>
            <w:vAlign w:val="center"/>
          </w:tcPr>
          <w:p w14:paraId="5E4AAA4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top"/>
          </w:tcPr>
          <w:p w14:paraId="3E70BFD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开发区及入区企业需组织编制《环境风险应急预案》，成立应急组织机构，定期开展应急演练，提高区域环境风险防范能力。建立有效的事故风险防范体系，使开发区建设和环境保护协调发展。</w:t>
            </w:r>
          </w:p>
        </w:tc>
      </w:tr>
      <w:tr w14:paraId="429BC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43A47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5136EF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13FEB5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81FCF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DE5CFA0">
            <w:pPr>
              <w:widowControl/>
              <w:spacing w:line="0" w:lineRule="atLeast"/>
              <w:jc w:val="center"/>
              <w:rPr>
                <w:rFonts w:ascii="仿宋" w:hAnsi="仿宋" w:eastAsia="仿宋" w:cs="仿宋"/>
                <w:bCs/>
                <w:spacing w:val="-10"/>
                <w:kern w:val="0"/>
                <w:sz w:val="24"/>
              </w:rPr>
            </w:pPr>
          </w:p>
        </w:tc>
        <w:tc>
          <w:tcPr>
            <w:tcW w:w="850" w:type="dxa"/>
            <w:noWrap w:val="0"/>
            <w:vAlign w:val="center"/>
          </w:tcPr>
          <w:p w14:paraId="4F66CDD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top"/>
          </w:tcPr>
          <w:p w14:paraId="73D3DC4A">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1.减少新鲜水用量，提高中水回用率。鼓励锅炉、工业炉窑进行余热利用。2.新建产业园区应按生态工业园区标准进行规划建设。3.</w:t>
            </w:r>
            <w:r>
              <w:rPr>
                <w:rFonts w:hint="eastAsia" w:ascii="仿宋" w:hAnsi="仿宋" w:eastAsia="仿宋" w:cs="仿宋"/>
                <w:bCs/>
                <w:spacing w:val="-10"/>
                <w:kern w:val="0"/>
                <w:sz w:val="24"/>
              </w:rPr>
              <w:t>禁燃区内严格按照相应的高污染燃料禁燃区的通告要求执行。</w:t>
            </w:r>
          </w:p>
        </w:tc>
      </w:tr>
      <w:tr w14:paraId="08384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BF97B9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ZH13047320159</w:t>
            </w:r>
          </w:p>
        </w:tc>
        <w:tc>
          <w:tcPr>
            <w:tcW w:w="567" w:type="dxa"/>
            <w:vMerge w:val="restart"/>
            <w:noWrap w:val="0"/>
            <w:vAlign w:val="center"/>
          </w:tcPr>
          <w:p w14:paraId="2A6F3A4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1F726C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高臾镇、辛庄营乡、林坦镇、南城乡</w:t>
            </w:r>
          </w:p>
        </w:tc>
        <w:tc>
          <w:tcPr>
            <w:tcW w:w="709" w:type="dxa"/>
            <w:vMerge w:val="restart"/>
            <w:noWrap w:val="0"/>
            <w:vAlign w:val="center"/>
          </w:tcPr>
          <w:p w14:paraId="5BE0AD8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3513526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大气环境受体敏感重点管控区、高污染燃料禁燃区</w:t>
            </w:r>
          </w:p>
        </w:tc>
        <w:tc>
          <w:tcPr>
            <w:tcW w:w="850" w:type="dxa"/>
            <w:noWrap w:val="0"/>
            <w:vAlign w:val="center"/>
          </w:tcPr>
          <w:p w14:paraId="34234D4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3C2D27B6">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1.禁止建设《产业结构调整指导目录(2019年本)》中禁止类项目及设备。2.禁止新建和扩建(等量置换或脱硫石膏除外)石灰和石膏制造。3.限制开采石膏项目。4.项目建设应考虑对周边敏感区的环境影响。</w:t>
            </w:r>
          </w:p>
        </w:tc>
      </w:tr>
      <w:tr w14:paraId="277C9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812268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160B8E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6D1ADF0">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59ABBB9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EA713D0">
            <w:pPr>
              <w:widowControl/>
              <w:spacing w:line="0" w:lineRule="atLeast"/>
              <w:jc w:val="center"/>
              <w:rPr>
                <w:rFonts w:ascii="仿宋" w:hAnsi="仿宋" w:eastAsia="仿宋" w:cs="仿宋"/>
                <w:bCs/>
                <w:spacing w:val="-10"/>
                <w:kern w:val="0"/>
                <w:sz w:val="24"/>
              </w:rPr>
            </w:pPr>
          </w:p>
        </w:tc>
        <w:tc>
          <w:tcPr>
            <w:tcW w:w="850" w:type="dxa"/>
            <w:noWrap w:val="0"/>
            <w:vAlign w:val="center"/>
          </w:tcPr>
          <w:p w14:paraId="06B5974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3055887">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砖瓦行业污染物排放满足《砖瓦工业大气污染物排放标准》（GB2962-2013）及修改单中相应排放限值要求。2.冲天炉、玻璃熔窑、以煤和煤矸石为燃料的砖瓦烧结窑、耐火材料焙烧窑(电窑除外)、炭素焙(煅)烧炉(窑)、石灰窑、和精炼炉等，原则上应纳入重点排污单位名录，安装自动监控设施。3.对涉粉状物料十大行业按照“退后十”方案中相应要求管理。4.工业炉窑污染物排放满足《工业炉窑大气污染物排放标准》 (DB13/1640-2012)和《关于印发</w:t>
            </w:r>
            <w:r>
              <w:rPr>
                <w:rFonts w:hint="eastAsia" w:ascii="仿宋" w:hAnsi="仿宋" w:eastAsia="仿宋" w:cs="仿宋"/>
                <w:bCs/>
                <w:spacing w:val="-16"/>
                <w:kern w:val="0"/>
                <w:sz w:val="24"/>
                <w:lang w:eastAsia="zh-CN"/>
              </w:rPr>
              <w:t>〈河北省工业炉窑综合治理实施方案〉</w:t>
            </w:r>
            <w:r>
              <w:rPr>
                <w:rFonts w:hint="eastAsia" w:ascii="仿宋" w:hAnsi="仿宋" w:eastAsia="仿宋" w:cs="仿宋"/>
                <w:bCs/>
                <w:spacing w:val="-16"/>
                <w:kern w:val="0"/>
                <w:sz w:val="24"/>
              </w:rPr>
              <w:t>的通知》(冀环大气〔2019〕607号)及“退后十”方案中邯郸限值要求。5.石灰和石膏制造行业污染物排放满足《石灰行业大气污染物排放标准》（DB13/1641-2012）相应排放限值要求。6.独立的石灰窑行业参照执行《河北省钢铁工业大气污染物超低排放标准》(DB13/2169-2018)规定的石灰窑排放标准。</w:t>
            </w:r>
          </w:p>
        </w:tc>
      </w:tr>
      <w:tr w14:paraId="4EF1ED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6D43F9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8C5B985">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E5D0075">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6BA8919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DD8CEC6">
            <w:pPr>
              <w:widowControl/>
              <w:spacing w:line="0" w:lineRule="atLeast"/>
              <w:jc w:val="center"/>
              <w:rPr>
                <w:rFonts w:ascii="仿宋" w:hAnsi="仿宋" w:eastAsia="仿宋" w:cs="仿宋"/>
                <w:bCs/>
                <w:spacing w:val="-10"/>
                <w:kern w:val="0"/>
                <w:sz w:val="24"/>
              </w:rPr>
            </w:pPr>
          </w:p>
        </w:tc>
        <w:tc>
          <w:tcPr>
            <w:tcW w:w="850" w:type="dxa"/>
            <w:noWrap w:val="0"/>
            <w:vAlign w:val="center"/>
          </w:tcPr>
          <w:p w14:paraId="3CC011B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top"/>
          </w:tcPr>
          <w:p w14:paraId="36B040FF">
            <w:pPr>
              <w:widowControl/>
              <w:spacing w:line="0" w:lineRule="atLeast"/>
              <w:ind w:firstLine="416" w:firstLineChars="200"/>
              <w:rPr>
                <w:rFonts w:ascii="仿宋" w:hAnsi="仿宋" w:eastAsia="仿宋" w:cs="仿宋"/>
                <w:spacing w:val="-16"/>
                <w:kern w:val="0"/>
                <w:sz w:val="24"/>
              </w:rPr>
            </w:pPr>
            <w:r>
              <w:rPr>
                <w:rFonts w:hint="eastAsia" w:ascii="仿宋" w:hAnsi="仿宋" w:eastAsia="仿宋" w:cs="仿宋"/>
                <w:bCs/>
                <w:spacing w:val="-16"/>
                <w:kern w:val="0"/>
                <w:sz w:val="24"/>
              </w:rPr>
              <w:t>开发区及入区企业需组织编制《环境风险应急预案》，成立应急组织机构，定期开展应急演练，提高区域环境风险防范能力。建立有效的事故风险防范体系，使开发区建设和环境保护协调发展。</w:t>
            </w:r>
          </w:p>
        </w:tc>
      </w:tr>
      <w:tr w14:paraId="7E740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BF7F38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6F4E54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5C81D42">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93AE96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17A68EA">
            <w:pPr>
              <w:widowControl/>
              <w:spacing w:line="0" w:lineRule="atLeast"/>
              <w:jc w:val="center"/>
              <w:rPr>
                <w:rFonts w:ascii="仿宋" w:hAnsi="仿宋" w:eastAsia="仿宋" w:cs="仿宋"/>
                <w:bCs/>
                <w:spacing w:val="-10"/>
                <w:kern w:val="0"/>
                <w:sz w:val="24"/>
              </w:rPr>
            </w:pPr>
          </w:p>
        </w:tc>
        <w:tc>
          <w:tcPr>
            <w:tcW w:w="850" w:type="dxa"/>
            <w:noWrap w:val="0"/>
            <w:vAlign w:val="center"/>
          </w:tcPr>
          <w:p w14:paraId="060289C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4D69672">
            <w:pPr>
              <w:widowControl/>
              <w:spacing w:line="0" w:lineRule="atLeast"/>
              <w:ind w:firstLine="416" w:firstLineChars="200"/>
              <w:rPr>
                <w:rFonts w:ascii="仿宋" w:hAnsi="仿宋" w:eastAsia="仿宋" w:cs="仿宋"/>
                <w:spacing w:val="-16"/>
                <w:sz w:val="24"/>
              </w:rPr>
            </w:pPr>
            <w:r>
              <w:rPr>
                <w:rFonts w:hint="eastAsia" w:ascii="仿宋" w:hAnsi="仿宋" w:eastAsia="仿宋" w:cs="仿宋"/>
                <w:spacing w:val="-16"/>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具备条件的石灰窑烧制热源改为天然气、电和焦炉高炉煤气等清洁能源。</w:t>
            </w:r>
            <w:r>
              <w:rPr>
                <w:rFonts w:hint="eastAsia" w:ascii="仿宋" w:hAnsi="仿宋" w:eastAsia="仿宋" w:cs="仿宋"/>
                <w:bCs/>
                <w:spacing w:val="-16"/>
                <w:kern w:val="0"/>
                <w:sz w:val="24"/>
              </w:rPr>
              <w:t>3.禁燃区内严格按照相应的高污染燃料禁燃区的通告要求执行。</w:t>
            </w:r>
          </w:p>
        </w:tc>
      </w:tr>
      <w:tr w14:paraId="58AAB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C7E88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ZH13047330158</w:t>
            </w:r>
          </w:p>
        </w:tc>
        <w:tc>
          <w:tcPr>
            <w:tcW w:w="567" w:type="dxa"/>
            <w:vMerge w:val="restart"/>
            <w:noWrap w:val="0"/>
            <w:vAlign w:val="center"/>
          </w:tcPr>
          <w:p w14:paraId="242CE41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冀南新区</w:t>
            </w:r>
          </w:p>
        </w:tc>
        <w:tc>
          <w:tcPr>
            <w:tcW w:w="1134" w:type="dxa"/>
            <w:vMerge w:val="restart"/>
            <w:noWrap w:val="0"/>
            <w:vAlign w:val="center"/>
          </w:tcPr>
          <w:p w14:paraId="470D485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高臾镇、林坦镇、南城乡、辛庄营乡</w:t>
            </w:r>
          </w:p>
        </w:tc>
        <w:tc>
          <w:tcPr>
            <w:tcW w:w="709" w:type="dxa"/>
            <w:vMerge w:val="restart"/>
            <w:noWrap w:val="0"/>
            <w:vAlign w:val="center"/>
          </w:tcPr>
          <w:p w14:paraId="1B8A2B5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40F5C2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1213725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24BFBD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1.禁止建设《产业结构调整指导目录(2019年本)》中禁止类项目及设备。2.禁止新建和扩建(等量置换或脱硫石膏除外)石灰和石膏制造。3.限制开采石膏项目。</w:t>
            </w:r>
          </w:p>
        </w:tc>
      </w:tr>
      <w:tr w14:paraId="0CC59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DB530E6">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A6AD3B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8CC419E">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7BD14D2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B122927">
            <w:pPr>
              <w:widowControl/>
              <w:spacing w:line="0" w:lineRule="atLeast"/>
              <w:jc w:val="center"/>
              <w:rPr>
                <w:rFonts w:ascii="仿宋" w:hAnsi="仿宋" w:eastAsia="仿宋" w:cs="仿宋"/>
                <w:bCs/>
                <w:spacing w:val="-10"/>
                <w:kern w:val="0"/>
                <w:sz w:val="24"/>
              </w:rPr>
            </w:pPr>
          </w:p>
        </w:tc>
        <w:tc>
          <w:tcPr>
            <w:tcW w:w="850" w:type="dxa"/>
            <w:noWrap w:val="0"/>
            <w:vAlign w:val="center"/>
          </w:tcPr>
          <w:p w14:paraId="7024E2B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60A9E50">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砖瓦行业污染物排放满足《砖瓦工业大气污染物排放标准》（GB2962-2013）及修改单中相应排放限值要求。2.冲天炉、玻璃熔窑、以煤和煤矸石为燃料的砖瓦烧结窑、耐火材料焙烧窑(电窑除外)、炭素焙(煅)烧炉(窑)、石灰窑、和精炼炉等，原则上应纳入重点排污单位名录，安装自动监控设施。3.对涉粉状物料十大行业按照“退后十”方案中相应要求管理。4.工业炉窑污染物排放满足《工业炉窑大气污染物排放标准》 (DB13/1640-2012)和《关于印发</w:t>
            </w:r>
            <w:r>
              <w:rPr>
                <w:rFonts w:hint="eastAsia" w:ascii="仿宋" w:hAnsi="仿宋" w:eastAsia="仿宋" w:cs="仿宋"/>
                <w:bCs/>
                <w:spacing w:val="-16"/>
                <w:kern w:val="0"/>
                <w:sz w:val="24"/>
                <w:lang w:eastAsia="zh-CN"/>
              </w:rPr>
              <w:t>〈河北省工业炉窑综合治理实施方案〉</w:t>
            </w:r>
            <w:r>
              <w:rPr>
                <w:rFonts w:hint="eastAsia" w:ascii="仿宋" w:hAnsi="仿宋" w:eastAsia="仿宋" w:cs="仿宋"/>
                <w:bCs/>
                <w:spacing w:val="-16"/>
                <w:kern w:val="0"/>
                <w:sz w:val="24"/>
              </w:rPr>
              <w:t>的通知》(冀环大气〔2019〕607号)及“退后十”方案中邯郸限值要求。5.石灰和石膏制造行业污染物排放满足《石灰行业大气污染物排放标准》（DB13/1641-2012）相应排放限值要求。6.独立的石灰窑行业参照执行《河北省钢铁工业大气污染物超低排放标准》(DB13/2169-2018)规定的石灰窑排放标准。</w:t>
            </w:r>
          </w:p>
        </w:tc>
      </w:tr>
      <w:tr w14:paraId="2C4CB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05B48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CD17C7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793E2D2">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05EC0C5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BBA5D96">
            <w:pPr>
              <w:widowControl/>
              <w:spacing w:line="0" w:lineRule="atLeast"/>
              <w:jc w:val="center"/>
              <w:rPr>
                <w:rFonts w:ascii="仿宋" w:hAnsi="仿宋" w:eastAsia="仿宋" w:cs="仿宋"/>
                <w:bCs/>
                <w:spacing w:val="-10"/>
                <w:kern w:val="0"/>
                <w:sz w:val="24"/>
              </w:rPr>
            </w:pPr>
          </w:p>
        </w:tc>
        <w:tc>
          <w:tcPr>
            <w:tcW w:w="850" w:type="dxa"/>
            <w:noWrap w:val="0"/>
            <w:vAlign w:val="center"/>
          </w:tcPr>
          <w:p w14:paraId="1B6F5AB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top"/>
          </w:tcPr>
          <w:p w14:paraId="25DD2760">
            <w:pPr>
              <w:widowControl/>
              <w:spacing w:line="0" w:lineRule="atLeast"/>
              <w:ind w:firstLine="416" w:firstLineChars="200"/>
              <w:rPr>
                <w:rFonts w:ascii="仿宋" w:hAnsi="仿宋" w:eastAsia="仿宋" w:cs="仿宋"/>
                <w:spacing w:val="-16"/>
                <w:kern w:val="0"/>
                <w:sz w:val="24"/>
              </w:rPr>
            </w:pPr>
            <w:r>
              <w:rPr>
                <w:rFonts w:hint="eastAsia" w:ascii="仿宋" w:hAnsi="仿宋" w:eastAsia="仿宋" w:cs="仿宋"/>
                <w:bCs/>
                <w:spacing w:val="-16"/>
                <w:kern w:val="0"/>
                <w:sz w:val="24"/>
              </w:rPr>
              <w:t>开发区及入区企业需组织编制《环境风险应急预案》，成立应急组织机构，定期开展应急演练，提高区域环境风险防范能力。建立有效的事故风险防范体系，使开发区建设和环境保护协调发展。</w:t>
            </w:r>
          </w:p>
        </w:tc>
      </w:tr>
      <w:tr w14:paraId="3063D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EC7979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C0B108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A4B6F9D">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2A37FFA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4212896">
            <w:pPr>
              <w:widowControl/>
              <w:spacing w:line="0" w:lineRule="atLeast"/>
              <w:jc w:val="center"/>
              <w:rPr>
                <w:rFonts w:ascii="仿宋" w:hAnsi="仿宋" w:eastAsia="仿宋" w:cs="仿宋"/>
                <w:bCs/>
                <w:spacing w:val="-10"/>
                <w:kern w:val="0"/>
                <w:sz w:val="24"/>
              </w:rPr>
            </w:pPr>
          </w:p>
        </w:tc>
        <w:tc>
          <w:tcPr>
            <w:tcW w:w="850" w:type="dxa"/>
            <w:noWrap w:val="0"/>
            <w:vAlign w:val="center"/>
          </w:tcPr>
          <w:p w14:paraId="352AFA4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6F0EDA90">
            <w:pPr>
              <w:widowControl/>
              <w:spacing w:line="0" w:lineRule="atLeast"/>
              <w:ind w:firstLine="416" w:firstLineChars="200"/>
              <w:rPr>
                <w:rFonts w:ascii="仿宋" w:hAnsi="仿宋" w:eastAsia="仿宋" w:cs="仿宋"/>
                <w:spacing w:val="-16"/>
                <w:sz w:val="24"/>
              </w:rPr>
            </w:pPr>
            <w:r>
              <w:rPr>
                <w:rFonts w:hint="eastAsia" w:ascii="仿宋" w:hAnsi="仿宋" w:eastAsia="仿宋" w:cs="仿宋"/>
                <w:spacing w:val="-16"/>
                <w:sz w:val="24"/>
              </w:rPr>
              <w:t>1.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2.具备条件的石灰窑烧制热源改为天然气、电和焦炉高炉煤气等清洁能源。</w:t>
            </w:r>
            <w:r>
              <w:rPr>
                <w:rFonts w:hint="eastAsia" w:ascii="仿宋" w:hAnsi="仿宋" w:eastAsia="仿宋" w:cs="仿宋"/>
                <w:bCs/>
                <w:spacing w:val="-16"/>
                <w:kern w:val="0"/>
                <w:sz w:val="24"/>
              </w:rPr>
              <w:t>3.禁燃区内严格按照相应的高污染燃料禁燃区的通告要求执行。</w:t>
            </w:r>
          </w:p>
        </w:tc>
      </w:tr>
    </w:tbl>
    <w:p w14:paraId="747386BA">
      <w:pPr>
        <w:pStyle w:val="10"/>
        <w:numPr>
          <w:ilvl w:val="1"/>
          <w:numId w:val="0"/>
        </w:numPr>
        <w:spacing w:beforeLines="50"/>
        <w:outlineLvl w:val="1"/>
        <w:rPr>
          <w:rFonts w:ascii="仿宋" w:hAnsi="仿宋" w:eastAsia="仿宋" w:cs="仿宋"/>
          <w:b/>
          <w:sz w:val="28"/>
          <w:szCs w:val="18"/>
        </w:rPr>
      </w:pPr>
      <w:r>
        <w:rPr>
          <w:rFonts w:hint="eastAsia" w:ascii="仿宋" w:hAnsi="仿宋" w:eastAsia="仿宋" w:cs="仿宋"/>
          <w:b/>
          <w:sz w:val="28"/>
          <w:szCs w:val="18"/>
        </w:rPr>
        <w:br w:type="page"/>
      </w:r>
      <w:r>
        <w:rPr>
          <w:rFonts w:hint="eastAsia" w:ascii="仿宋" w:hAnsi="仿宋" w:eastAsia="仿宋" w:cs="仿宋"/>
          <w:bCs/>
          <w:sz w:val="32"/>
          <w:szCs w:val="32"/>
        </w:rPr>
        <w:t>（二十）武安市生态环境准入清单</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95"/>
        <w:gridCol w:w="567"/>
        <w:gridCol w:w="1134"/>
        <w:gridCol w:w="709"/>
        <w:gridCol w:w="851"/>
        <w:gridCol w:w="851"/>
        <w:gridCol w:w="4195"/>
      </w:tblGrid>
      <w:tr w14:paraId="6D29F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95" w:type="dxa"/>
            <w:shd w:val="clear" w:color="auto" w:fill="D7D7D7"/>
            <w:noWrap w:val="0"/>
            <w:vAlign w:val="center"/>
          </w:tcPr>
          <w:p w14:paraId="5BE6B5EA">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编 号</w:t>
            </w:r>
          </w:p>
        </w:tc>
        <w:tc>
          <w:tcPr>
            <w:tcW w:w="567" w:type="dxa"/>
            <w:shd w:val="clear" w:color="auto" w:fill="D7D7D7"/>
            <w:noWrap w:val="0"/>
            <w:vAlign w:val="center"/>
          </w:tcPr>
          <w:p w14:paraId="07BFC51F">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区 县</w:t>
            </w:r>
          </w:p>
        </w:tc>
        <w:tc>
          <w:tcPr>
            <w:tcW w:w="1134" w:type="dxa"/>
            <w:shd w:val="clear" w:color="auto" w:fill="D7D7D7"/>
            <w:noWrap w:val="0"/>
            <w:vAlign w:val="center"/>
          </w:tcPr>
          <w:p w14:paraId="584EC274">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涉及乡镇</w:t>
            </w:r>
          </w:p>
        </w:tc>
        <w:tc>
          <w:tcPr>
            <w:tcW w:w="709" w:type="dxa"/>
            <w:shd w:val="clear" w:color="auto" w:fill="D7D7D7"/>
            <w:noWrap w:val="0"/>
            <w:vAlign w:val="center"/>
          </w:tcPr>
          <w:p w14:paraId="64ABDCD8">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单元类别</w:t>
            </w:r>
          </w:p>
        </w:tc>
        <w:tc>
          <w:tcPr>
            <w:tcW w:w="851" w:type="dxa"/>
            <w:shd w:val="clear" w:color="auto" w:fill="D7D7D7"/>
            <w:noWrap w:val="0"/>
            <w:vAlign w:val="center"/>
          </w:tcPr>
          <w:p w14:paraId="008D376A">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环境要素类别</w:t>
            </w:r>
          </w:p>
        </w:tc>
        <w:tc>
          <w:tcPr>
            <w:tcW w:w="850" w:type="dxa"/>
            <w:shd w:val="clear" w:color="auto" w:fill="D7D7D7"/>
            <w:noWrap w:val="0"/>
            <w:vAlign w:val="center"/>
          </w:tcPr>
          <w:p w14:paraId="050BF61E">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维度</w:t>
            </w:r>
          </w:p>
        </w:tc>
        <w:tc>
          <w:tcPr>
            <w:tcW w:w="4195" w:type="dxa"/>
            <w:shd w:val="clear" w:color="auto" w:fill="D7D7D7"/>
            <w:noWrap w:val="0"/>
            <w:vAlign w:val="center"/>
          </w:tcPr>
          <w:p w14:paraId="44486A3B">
            <w:pPr>
              <w:widowControl/>
              <w:spacing w:line="0" w:lineRule="atLeast"/>
              <w:jc w:val="center"/>
              <w:rPr>
                <w:rFonts w:ascii="仿宋" w:hAnsi="仿宋" w:eastAsia="仿宋" w:cs="仿宋"/>
                <w:b/>
                <w:spacing w:val="-10"/>
                <w:kern w:val="0"/>
                <w:sz w:val="24"/>
              </w:rPr>
            </w:pPr>
            <w:r>
              <w:rPr>
                <w:rFonts w:hint="eastAsia" w:ascii="仿宋" w:hAnsi="仿宋" w:eastAsia="仿宋" w:cs="仿宋"/>
                <w:b/>
                <w:spacing w:val="-10"/>
                <w:kern w:val="0"/>
                <w:sz w:val="24"/>
              </w:rPr>
              <w:t>管控措施</w:t>
            </w:r>
          </w:p>
        </w:tc>
      </w:tr>
      <w:tr w14:paraId="124A7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AD4F90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ZH13048110158</w:t>
            </w:r>
          </w:p>
        </w:tc>
        <w:tc>
          <w:tcPr>
            <w:tcW w:w="567" w:type="dxa"/>
            <w:vMerge w:val="restart"/>
            <w:noWrap w:val="0"/>
            <w:vAlign w:val="center"/>
          </w:tcPr>
          <w:p w14:paraId="6A1DD62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35B491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武安镇、康二城镇、午汲镇、磁山镇、伯延镇、淑村镇、矿山镇、贺进镇、阳邑镇、徘徊镇、冶陶镇、北安庄乡、北安乐乡、石洞乡、马家庄乡</w:t>
            </w:r>
          </w:p>
        </w:tc>
        <w:tc>
          <w:tcPr>
            <w:tcW w:w="709" w:type="dxa"/>
            <w:vMerge w:val="restart"/>
            <w:noWrap w:val="0"/>
            <w:vAlign w:val="center"/>
          </w:tcPr>
          <w:p w14:paraId="1B03C90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0E027DB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w:t>
            </w:r>
          </w:p>
        </w:tc>
        <w:tc>
          <w:tcPr>
            <w:tcW w:w="850" w:type="dxa"/>
            <w:noWrap w:val="0"/>
            <w:vAlign w:val="center"/>
          </w:tcPr>
          <w:p w14:paraId="0485A9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0FE234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按照总体准入的生态空间总体管控要求中水源涵养、水土保持相应管控要求执行。</w:t>
            </w:r>
          </w:p>
        </w:tc>
      </w:tr>
      <w:tr w14:paraId="2E26A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1" w:hRule="atLeast"/>
          <w:jc w:val="center"/>
        </w:trPr>
        <w:tc>
          <w:tcPr>
            <w:tcW w:w="595" w:type="dxa"/>
            <w:vMerge w:val="continue"/>
            <w:noWrap w:val="0"/>
            <w:vAlign w:val="center"/>
          </w:tcPr>
          <w:p w14:paraId="2E62295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8CB673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F4F1B1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28C114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8CF4B39">
            <w:pPr>
              <w:widowControl/>
              <w:spacing w:line="0" w:lineRule="atLeast"/>
              <w:jc w:val="center"/>
              <w:rPr>
                <w:rFonts w:ascii="仿宋" w:hAnsi="仿宋" w:eastAsia="仿宋" w:cs="仿宋"/>
                <w:bCs/>
                <w:spacing w:val="-10"/>
                <w:kern w:val="0"/>
                <w:sz w:val="24"/>
              </w:rPr>
            </w:pPr>
          </w:p>
        </w:tc>
        <w:tc>
          <w:tcPr>
            <w:tcW w:w="850" w:type="dxa"/>
            <w:noWrap w:val="0"/>
            <w:vAlign w:val="center"/>
          </w:tcPr>
          <w:p w14:paraId="60D5C4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751D75E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6F3C0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8FD156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D1F89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3449C8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C3D0EF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BC44747">
            <w:pPr>
              <w:widowControl/>
              <w:spacing w:line="0" w:lineRule="atLeast"/>
              <w:jc w:val="center"/>
              <w:rPr>
                <w:rFonts w:ascii="仿宋" w:hAnsi="仿宋" w:eastAsia="仿宋" w:cs="仿宋"/>
                <w:bCs/>
                <w:spacing w:val="-10"/>
                <w:kern w:val="0"/>
                <w:sz w:val="24"/>
              </w:rPr>
            </w:pPr>
          </w:p>
        </w:tc>
        <w:tc>
          <w:tcPr>
            <w:tcW w:w="850" w:type="dxa"/>
            <w:noWrap w:val="0"/>
            <w:vAlign w:val="center"/>
          </w:tcPr>
          <w:p w14:paraId="6CF37F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2D87CF0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59647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35" w:hRule="atLeast"/>
          <w:jc w:val="center"/>
        </w:trPr>
        <w:tc>
          <w:tcPr>
            <w:tcW w:w="595" w:type="dxa"/>
            <w:vMerge w:val="continue"/>
            <w:noWrap w:val="0"/>
            <w:vAlign w:val="center"/>
          </w:tcPr>
          <w:p w14:paraId="60ED76C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8433FC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B7F3B2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AC6399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ED39537">
            <w:pPr>
              <w:widowControl/>
              <w:spacing w:line="0" w:lineRule="atLeast"/>
              <w:jc w:val="center"/>
              <w:rPr>
                <w:rFonts w:ascii="仿宋" w:hAnsi="仿宋" w:eastAsia="仿宋" w:cs="仿宋"/>
                <w:bCs/>
                <w:spacing w:val="-10"/>
                <w:kern w:val="0"/>
                <w:sz w:val="24"/>
              </w:rPr>
            </w:pPr>
          </w:p>
        </w:tc>
        <w:tc>
          <w:tcPr>
            <w:tcW w:w="850" w:type="dxa"/>
            <w:noWrap w:val="0"/>
            <w:vAlign w:val="center"/>
          </w:tcPr>
          <w:p w14:paraId="4392FA0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4C4BA8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146C4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16A2F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ZH13048110159</w:t>
            </w:r>
          </w:p>
        </w:tc>
        <w:tc>
          <w:tcPr>
            <w:tcW w:w="567" w:type="dxa"/>
            <w:vMerge w:val="restart"/>
            <w:noWrap w:val="0"/>
            <w:vAlign w:val="center"/>
          </w:tcPr>
          <w:p w14:paraId="1F5D069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148AFA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管陶乡、贺进镇、活水乡、阳邑镇</w:t>
            </w:r>
          </w:p>
        </w:tc>
        <w:tc>
          <w:tcPr>
            <w:tcW w:w="709" w:type="dxa"/>
            <w:vMerge w:val="restart"/>
            <w:noWrap w:val="0"/>
            <w:vAlign w:val="center"/>
          </w:tcPr>
          <w:p w14:paraId="4EF0BB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590EDC5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地表饮用水源保护区-武安四里岩水库</w:t>
            </w:r>
          </w:p>
        </w:tc>
        <w:tc>
          <w:tcPr>
            <w:tcW w:w="850" w:type="dxa"/>
            <w:noWrap w:val="0"/>
            <w:vAlign w:val="center"/>
          </w:tcPr>
          <w:p w14:paraId="1243D3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B406E5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按照《饮用水水源保护区污染防治管理规定》中管控要求执行。</w:t>
            </w:r>
          </w:p>
        </w:tc>
      </w:tr>
      <w:tr w14:paraId="4FD31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126704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1492D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E819DA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91B8AA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1A1CD65">
            <w:pPr>
              <w:widowControl/>
              <w:spacing w:line="0" w:lineRule="atLeast"/>
              <w:jc w:val="center"/>
              <w:rPr>
                <w:rFonts w:ascii="仿宋" w:hAnsi="仿宋" w:eastAsia="仿宋" w:cs="仿宋"/>
                <w:bCs/>
                <w:spacing w:val="-10"/>
                <w:kern w:val="0"/>
                <w:sz w:val="24"/>
              </w:rPr>
            </w:pPr>
          </w:p>
        </w:tc>
        <w:tc>
          <w:tcPr>
            <w:tcW w:w="850" w:type="dxa"/>
            <w:noWrap w:val="0"/>
            <w:vAlign w:val="center"/>
          </w:tcPr>
          <w:p w14:paraId="7B85E08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D9DA8F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7E2CA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DAC189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8586C6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632C7A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E5B21A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9E6C044">
            <w:pPr>
              <w:widowControl/>
              <w:spacing w:line="0" w:lineRule="atLeast"/>
              <w:jc w:val="center"/>
              <w:rPr>
                <w:rFonts w:ascii="仿宋" w:hAnsi="仿宋" w:eastAsia="仿宋" w:cs="仿宋"/>
                <w:bCs/>
                <w:spacing w:val="-10"/>
                <w:kern w:val="0"/>
                <w:sz w:val="24"/>
              </w:rPr>
            </w:pPr>
          </w:p>
        </w:tc>
        <w:tc>
          <w:tcPr>
            <w:tcW w:w="850" w:type="dxa"/>
            <w:noWrap w:val="0"/>
            <w:vAlign w:val="center"/>
          </w:tcPr>
          <w:p w14:paraId="20FD954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7D6A8B83">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F189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4" w:hRule="atLeast"/>
          <w:jc w:val="center"/>
        </w:trPr>
        <w:tc>
          <w:tcPr>
            <w:tcW w:w="595" w:type="dxa"/>
            <w:vMerge w:val="continue"/>
            <w:noWrap w:val="0"/>
            <w:vAlign w:val="center"/>
          </w:tcPr>
          <w:p w14:paraId="5F07A1D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EACA0B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827F04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A326A9A">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981318D">
            <w:pPr>
              <w:widowControl/>
              <w:spacing w:line="0" w:lineRule="atLeast"/>
              <w:jc w:val="center"/>
              <w:rPr>
                <w:rFonts w:ascii="仿宋" w:hAnsi="仿宋" w:eastAsia="仿宋" w:cs="仿宋"/>
                <w:bCs/>
                <w:spacing w:val="-10"/>
                <w:kern w:val="0"/>
                <w:sz w:val="24"/>
              </w:rPr>
            </w:pPr>
          </w:p>
        </w:tc>
        <w:tc>
          <w:tcPr>
            <w:tcW w:w="850" w:type="dxa"/>
            <w:noWrap w:val="0"/>
            <w:vAlign w:val="center"/>
          </w:tcPr>
          <w:p w14:paraId="2D22D7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B95A1D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8E97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3" w:hRule="atLeast"/>
          <w:jc w:val="center"/>
        </w:trPr>
        <w:tc>
          <w:tcPr>
            <w:tcW w:w="595" w:type="dxa"/>
            <w:vMerge w:val="restart"/>
            <w:noWrap w:val="0"/>
            <w:vAlign w:val="center"/>
          </w:tcPr>
          <w:p w14:paraId="190498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ZH13048110160</w:t>
            </w:r>
          </w:p>
        </w:tc>
        <w:tc>
          <w:tcPr>
            <w:tcW w:w="567" w:type="dxa"/>
            <w:vMerge w:val="restart"/>
            <w:noWrap w:val="0"/>
            <w:vAlign w:val="center"/>
          </w:tcPr>
          <w:p w14:paraId="29E017F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6B1D43B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活水乡、管陶乡</w:t>
            </w:r>
          </w:p>
        </w:tc>
        <w:tc>
          <w:tcPr>
            <w:tcW w:w="709" w:type="dxa"/>
            <w:vMerge w:val="restart"/>
            <w:noWrap w:val="0"/>
            <w:vAlign w:val="center"/>
          </w:tcPr>
          <w:p w14:paraId="4B2E4B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76A6BB4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河北青崖寨国家级自然保护区</w:t>
            </w:r>
          </w:p>
        </w:tc>
        <w:tc>
          <w:tcPr>
            <w:tcW w:w="850" w:type="dxa"/>
            <w:noWrap w:val="0"/>
            <w:vAlign w:val="center"/>
          </w:tcPr>
          <w:p w14:paraId="1CD36D74">
            <w:pPr>
              <w:widowControl/>
              <w:spacing w:line="0" w:lineRule="atLeast"/>
              <w:jc w:val="center"/>
              <w:rPr>
                <w:rFonts w:hint="eastAsia" w:ascii="仿宋" w:hAnsi="仿宋" w:eastAsia="仿宋" w:cs="仿宋"/>
                <w:bCs/>
                <w:spacing w:val="-10"/>
                <w:kern w:val="0"/>
                <w:sz w:val="24"/>
              </w:rPr>
            </w:pPr>
            <w:r>
              <w:rPr>
                <w:rFonts w:hint="eastAsia" w:ascii="仿宋" w:hAnsi="仿宋" w:eastAsia="仿宋" w:cs="仿宋"/>
                <w:bCs/>
                <w:spacing w:val="-10"/>
                <w:kern w:val="0"/>
                <w:sz w:val="24"/>
              </w:rPr>
              <w:t>空间</w:t>
            </w:r>
          </w:p>
          <w:p w14:paraId="10EE21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布局</w:t>
            </w:r>
          </w:p>
        </w:tc>
        <w:tc>
          <w:tcPr>
            <w:tcW w:w="4195" w:type="dxa"/>
            <w:noWrap w:val="0"/>
            <w:vAlign w:val="center"/>
          </w:tcPr>
          <w:p w14:paraId="484938C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按照总体准入的生态空间总体管控要求中自然保护区相应管控要求执行</w:t>
            </w:r>
          </w:p>
        </w:tc>
      </w:tr>
      <w:tr w14:paraId="2AE97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81" w:hRule="atLeast"/>
          <w:jc w:val="center"/>
        </w:trPr>
        <w:tc>
          <w:tcPr>
            <w:tcW w:w="595" w:type="dxa"/>
            <w:vMerge w:val="continue"/>
            <w:noWrap w:val="0"/>
            <w:vAlign w:val="center"/>
          </w:tcPr>
          <w:p w14:paraId="63F7382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18B044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74F8F6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3F673B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8BCDB07">
            <w:pPr>
              <w:widowControl/>
              <w:spacing w:line="0" w:lineRule="atLeast"/>
              <w:jc w:val="center"/>
              <w:rPr>
                <w:rFonts w:ascii="仿宋" w:hAnsi="仿宋" w:eastAsia="仿宋" w:cs="仿宋"/>
                <w:bCs/>
                <w:spacing w:val="-10"/>
                <w:kern w:val="0"/>
                <w:sz w:val="24"/>
              </w:rPr>
            </w:pPr>
          </w:p>
        </w:tc>
        <w:tc>
          <w:tcPr>
            <w:tcW w:w="850" w:type="dxa"/>
            <w:noWrap w:val="0"/>
            <w:vAlign w:val="center"/>
          </w:tcPr>
          <w:p w14:paraId="7926F22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F2413E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1BB8D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1" w:hRule="atLeast"/>
          <w:jc w:val="center"/>
        </w:trPr>
        <w:tc>
          <w:tcPr>
            <w:tcW w:w="595" w:type="dxa"/>
            <w:vMerge w:val="continue"/>
            <w:noWrap w:val="0"/>
            <w:vAlign w:val="center"/>
          </w:tcPr>
          <w:p w14:paraId="3A42CFF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4ADEA9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5C1F4E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26980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1ABF0C7">
            <w:pPr>
              <w:widowControl/>
              <w:spacing w:line="0" w:lineRule="atLeast"/>
              <w:jc w:val="center"/>
              <w:rPr>
                <w:rFonts w:ascii="仿宋" w:hAnsi="仿宋" w:eastAsia="仿宋" w:cs="仿宋"/>
                <w:bCs/>
                <w:spacing w:val="-10"/>
                <w:kern w:val="0"/>
                <w:sz w:val="24"/>
              </w:rPr>
            </w:pPr>
          </w:p>
        </w:tc>
        <w:tc>
          <w:tcPr>
            <w:tcW w:w="850" w:type="dxa"/>
            <w:noWrap w:val="0"/>
            <w:vAlign w:val="center"/>
          </w:tcPr>
          <w:p w14:paraId="709C0F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31019AB2">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E523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8" w:hRule="atLeast"/>
          <w:jc w:val="center"/>
        </w:trPr>
        <w:tc>
          <w:tcPr>
            <w:tcW w:w="595" w:type="dxa"/>
            <w:vMerge w:val="continue"/>
            <w:noWrap w:val="0"/>
            <w:vAlign w:val="center"/>
          </w:tcPr>
          <w:p w14:paraId="622C9A5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D8C09A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177865A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0FC99B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02112D5">
            <w:pPr>
              <w:widowControl/>
              <w:spacing w:line="0" w:lineRule="atLeast"/>
              <w:jc w:val="center"/>
              <w:rPr>
                <w:rFonts w:ascii="仿宋" w:hAnsi="仿宋" w:eastAsia="仿宋" w:cs="仿宋"/>
                <w:bCs/>
                <w:spacing w:val="-10"/>
                <w:kern w:val="0"/>
                <w:sz w:val="24"/>
              </w:rPr>
            </w:pPr>
          </w:p>
        </w:tc>
        <w:tc>
          <w:tcPr>
            <w:tcW w:w="850" w:type="dxa"/>
            <w:noWrap w:val="0"/>
            <w:vAlign w:val="center"/>
          </w:tcPr>
          <w:p w14:paraId="7DEC56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905C62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D629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981ACA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ZH13048110161</w:t>
            </w:r>
          </w:p>
        </w:tc>
        <w:tc>
          <w:tcPr>
            <w:tcW w:w="567" w:type="dxa"/>
            <w:vMerge w:val="restart"/>
            <w:noWrap w:val="0"/>
            <w:vAlign w:val="center"/>
          </w:tcPr>
          <w:p w14:paraId="0AA7B9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3C43B71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北安乐乡</w:t>
            </w:r>
          </w:p>
        </w:tc>
        <w:tc>
          <w:tcPr>
            <w:tcW w:w="709" w:type="dxa"/>
            <w:vMerge w:val="restart"/>
            <w:noWrap w:val="0"/>
            <w:vAlign w:val="center"/>
          </w:tcPr>
          <w:p w14:paraId="26EA41E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5B51A32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河湖滨岸带</w:t>
            </w:r>
          </w:p>
        </w:tc>
        <w:tc>
          <w:tcPr>
            <w:tcW w:w="850" w:type="dxa"/>
            <w:noWrap w:val="0"/>
            <w:vAlign w:val="center"/>
          </w:tcPr>
          <w:p w14:paraId="5B6C55B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AC6065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1.满足《中华人民共和国河道管理条例》相关要求。2.按照总体准入的生态空间总体管控要求中河湖滨岸带管控要求执行。</w:t>
            </w:r>
          </w:p>
        </w:tc>
      </w:tr>
      <w:tr w14:paraId="60318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84DE781">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C01B02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D7D107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FF07D5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BBD25ED">
            <w:pPr>
              <w:widowControl/>
              <w:spacing w:line="0" w:lineRule="atLeast"/>
              <w:jc w:val="center"/>
              <w:rPr>
                <w:rFonts w:ascii="仿宋" w:hAnsi="仿宋" w:eastAsia="仿宋" w:cs="仿宋"/>
                <w:bCs/>
                <w:spacing w:val="-10"/>
                <w:kern w:val="0"/>
                <w:sz w:val="24"/>
              </w:rPr>
            </w:pPr>
          </w:p>
        </w:tc>
        <w:tc>
          <w:tcPr>
            <w:tcW w:w="850" w:type="dxa"/>
            <w:noWrap w:val="0"/>
            <w:vAlign w:val="center"/>
          </w:tcPr>
          <w:p w14:paraId="6A8F93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92EFC18">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满足《中华人民共和国水污染防治法》相关要求。</w:t>
            </w:r>
          </w:p>
        </w:tc>
      </w:tr>
      <w:tr w14:paraId="76BCB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01B3C0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FD4B27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FEFABD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8D553E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21FDAF0">
            <w:pPr>
              <w:widowControl/>
              <w:spacing w:line="0" w:lineRule="atLeast"/>
              <w:jc w:val="center"/>
              <w:rPr>
                <w:rFonts w:ascii="仿宋" w:hAnsi="仿宋" w:eastAsia="仿宋" w:cs="仿宋"/>
                <w:bCs/>
                <w:spacing w:val="-10"/>
                <w:kern w:val="0"/>
                <w:sz w:val="24"/>
              </w:rPr>
            </w:pPr>
          </w:p>
        </w:tc>
        <w:tc>
          <w:tcPr>
            <w:tcW w:w="850" w:type="dxa"/>
            <w:noWrap w:val="0"/>
            <w:vAlign w:val="center"/>
          </w:tcPr>
          <w:p w14:paraId="50E71EA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5DD43F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满足《中华人民共和国河道管理条例》相关要求。</w:t>
            </w:r>
          </w:p>
        </w:tc>
      </w:tr>
      <w:tr w14:paraId="7E403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12A9C5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E64500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F87F3F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AE7632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63A63A6">
            <w:pPr>
              <w:widowControl/>
              <w:spacing w:line="0" w:lineRule="atLeast"/>
              <w:jc w:val="center"/>
              <w:rPr>
                <w:rFonts w:ascii="仿宋" w:hAnsi="仿宋" w:eastAsia="仿宋" w:cs="仿宋"/>
                <w:bCs/>
                <w:spacing w:val="-10"/>
                <w:kern w:val="0"/>
                <w:sz w:val="24"/>
              </w:rPr>
            </w:pPr>
          </w:p>
        </w:tc>
        <w:tc>
          <w:tcPr>
            <w:tcW w:w="850" w:type="dxa"/>
            <w:noWrap w:val="0"/>
            <w:vAlign w:val="center"/>
          </w:tcPr>
          <w:p w14:paraId="17FF69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5E319AEF">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F6A6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2814E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ZH13048110162</w:t>
            </w:r>
          </w:p>
        </w:tc>
        <w:tc>
          <w:tcPr>
            <w:tcW w:w="567" w:type="dxa"/>
            <w:vMerge w:val="restart"/>
            <w:noWrap w:val="0"/>
            <w:vAlign w:val="center"/>
          </w:tcPr>
          <w:p w14:paraId="130B592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3BB5DD3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北安乐乡、北安庄乡、伯延镇、磁山镇、大同镇、管陶乡、贺进镇、活水乡、康二城镇、矿山镇、马家庄乡、徘徊镇、上团城镇、石洞乡、淑村镇、午汲镇、西寺庄乡、西土山镇、阳邑镇、冶陶镇</w:t>
            </w:r>
          </w:p>
        </w:tc>
        <w:tc>
          <w:tcPr>
            <w:tcW w:w="709" w:type="dxa"/>
            <w:vMerge w:val="restart"/>
            <w:noWrap w:val="0"/>
            <w:vAlign w:val="center"/>
          </w:tcPr>
          <w:p w14:paraId="602CFFE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46409B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w:t>
            </w:r>
          </w:p>
        </w:tc>
        <w:tc>
          <w:tcPr>
            <w:tcW w:w="850" w:type="dxa"/>
            <w:noWrap w:val="0"/>
            <w:vAlign w:val="center"/>
          </w:tcPr>
          <w:p w14:paraId="749B415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40D5FD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按照总体准入的生态空间总体管控要求中水源涵养、水土保持相应管控要求执行。</w:t>
            </w:r>
          </w:p>
        </w:tc>
      </w:tr>
      <w:tr w14:paraId="169BF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71AF1F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CD5504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B1A0D2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B5CEB0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E25E907">
            <w:pPr>
              <w:widowControl/>
              <w:spacing w:line="0" w:lineRule="atLeast"/>
              <w:jc w:val="center"/>
              <w:rPr>
                <w:rFonts w:ascii="仿宋" w:hAnsi="仿宋" w:eastAsia="仿宋" w:cs="仿宋"/>
                <w:bCs/>
                <w:spacing w:val="-10"/>
                <w:kern w:val="0"/>
                <w:sz w:val="24"/>
              </w:rPr>
            </w:pPr>
          </w:p>
        </w:tc>
        <w:tc>
          <w:tcPr>
            <w:tcW w:w="850" w:type="dxa"/>
            <w:noWrap w:val="0"/>
            <w:vAlign w:val="center"/>
          </w:tcPr>
          <w:p w14:paraId="5BAF608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730874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2747F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DD5509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046C77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13FFAF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132F435">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12B4B97">
            <w:pPr>
              <w:widowControl/>
              <w:spacing w:line="0" w:lineRule="atLeast"/>
              <w:jc w:val="center"/>
              <w:rPr>
                <w:rFonts w:ascii="仿宋" w:hAnsi="仿宋" w:eastAsia="仿宋" w:cs="仿宋"/>
                <w:bCs/>
                <w:spacing w:val="-10"/>
                <w:kern w:val="0"/>
                <w:sz w:val="24"/>
              </w:rPr>
            </w:pPr>
          </w:p>
        </w:tc>
        <w:tc>
          <w:tcPr>
            <w:tcW w:w="850" w:type="dxa"/>
            <w:noWrap w:val="0"/>
            <w:vAlign w:val="center"/>
          </w:tcPr>
          <w:p w14:paraId="441DD5F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62EB40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C607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DACE23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4F2DFDB">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558E0D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45EAE4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BE475C2">
            <w:pPr>
              <w:widowControl/>
              <w:spacing w:line="0" w:lineRule="atLeast"/>
              <w:jc w:val="center"/>
              <w:rPr>
                <w:rFonts w:ascii="仿宋" w:hAnsi="仿宋" w:eastAsia="仿宋" w:cs="仿宋"/>
                <w:bCs/>
                <w:spacing w:val="-10"/>
                <w:kern w:val="0"/>
                <w:sz w:val="24"/>
              </w:rPr>
            </w:pPr>
          </w:p>
        </w:tc>
        <w:tc>
          <w:tcPr>
            <w:tcW w:w="850" w:type="dxa"/>
            <w:noWrap w:val="0"/>
            <w:vAlign w:val="center"/>
          </w:tcPr>
          <w:p w14:paraId="4A7070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4BC645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3588F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1356C24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ZH13048110163</w:t>
            </w:r>
          </w:p>
        </w:tc>
        <w:tc>
          <w:tcPr>
            <w:tcW w:w="567" w:type="dxa"/>
            <w:vMerge w:val="restart"/>
            <w:noWrap w:val="0"/>
            <w:vAlign w:val="center"/>
          </w:tcPr>
          <w:p w14:paraId="6574C0A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0A7764A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管陶乡、活水乡</w:t>
            </w:r>
          </w:p>
        </w:tc>
        <w:tc>
          <w:tcPr>
            <w:tcW w:w="709" w:type="dxa"/>
            <w:vMerge w:val="restart"/>
            <w:noWrap w:val="0"/>
            <w:vAlign w:val="center"/>
          </w:tcPr>
          <w:p w14:paraId="4F5C19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0352705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水土保持、水源涵养-武安地质公园</w:t>
            </w:r>
          </w:p>
        </w:tc>
        <w:tc>
          <w:tcPr>
            <w:tcW w:w="850" w:type="dxa"/>
            <w:noWrap w:val="0"/>
            <w:vAlign w:val="center"/>
          </w:tcPr>
          <w:p w14:paraId="3EC62A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D81806D">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1.按照总体准入的生态空间总体管控要求中水源涵养、水土保持相应管控要求执行。2.按照《地质遗迹保护管理规定》中有关规定要求执行。</w:t>
            </w:r>
          </w:p>
        </w:tc>
      </w:tr>
      <w:tr w14:paraId="5ED32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B7581C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436B4F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7682A8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E912D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45C2EBA7">
            <w:pPr>
              <w:widowControl/>
              <w:spacing w:line="0" w:lineRule="atLeast"/>
              <w:jc w:val="center"/>
              <w:rPr>
                <w:rFonts w:ascii="仿宋" w:hAnsi="仿宋" w:eastAsia="仿宋" w:cs="仿宋"/>
                <w:bCs/>
                <w:spacing w:val="-10"/>
                <w:kern w:val="0"/>
                <w:sz w:val="24"/>
              </w:rPr>
            </w:pPr>
          </w:p>
        </w:tc>
        <w:tc>
          <w:tcPr>
            <w:tcW w:w="850" w:type="dxa"/>
            <w:noWrap w:val="0"/>
            <w:vAlign w:val="center"/>
          </w:tcPr>
          <w:p w14:paraId="1F21B42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3FBE410">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5AE78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CC575A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592AA2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2DFE9B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7E3B02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8D61451">
            <w:pPr>
              <w:widowControl/>
              <w:spacing w:line="0" w:lineRule="atLeast"/>
              <w:jc w:val="center"/>
              <w:rPr>
                <w:rFonts w:ascii="仿宋" w:hAnsi="仿宋" w:eastAsia="仿宋" w:cs="仿宋"/>
                <w:bCs/>
                <w:spacing w:val="-10"/>
                <w:kern w:val="0"/>
                <w:sz w:val="24"/>
              </w:rPr>
            </w:pPr>
          </w:p>
        </w:tc>
        <w:tc>
          <w:tcPr>
            <w:tcW w:w="850" w:type="dxa"/>
            <w:noWrap w:val="0"/>
            <w:vAlign w:val="center"/>
          </w:tcPr>
          <w:p w14:paraId="7E722ED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69F160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678CF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DD5D56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CF920B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067324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54423D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783DD4A">
            <w:pPr>
              <w:widowControl/>
              <w:spacing w:line="0" w:lineRule="atLeast"/>
              <w:jc w:val="center"/>
              <w:rPr>
                <w:rFonts w:ascii="仿宋" w:hAnsi="仿宋" w:eastAsia="仿宋" w:cs="仿宋"/>
                <w:bCs/>
                <w:spacing w:val="-10"/>
                <w:kern w:val="0"/>
                <w:sz w:val="24"/>
              </w:rPr>
            </w:pPr>
          </w:p>
        </w:tc>
        <w:tc>
          <w:tcPr>
            <w:tcW w:w="850" w:type="dxa"/>
            <w:noWrap w:val="0"/>
            <w:vAlign w:val="center"/>
          </w:tcPr>
          <w:p w14:paraId="0BBB8CA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30C650D">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0087D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6D3E677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ZH13048110164</w:t>
            </w:r>
          </w:p>
        </w:tc>
        <w:tc>
          <w:tcPr>
            <w:tcW w:w="567" w:type="dxa"/>
            <w:vMerge w:val="restart"/>
            <w:noWrap w:val="0"/>
            <w:vAlign w:val="center"/>
          </w:tcPr>
          <w:p w14:paraId="547E390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2AFDB80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北安庄乡、淑村镇</w:t>
            </w:r>
          </w:p>
        </w:tc>
        <w:tc>
          <w:tcPr>
            <w:tcW w:w="709" w:type="dxa"/>
            <w:vMerge w:val="restart"/>
            <w:noWrap w:val="0"/>
            <w:vAlign w:val="center"/>
          </w:tcPr>
          <w:p w14:paraId="0435151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34498C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水源涵养-杜家庄鼓山</w:t>
            </w:r>
          </w:p>
        </w:tc>
        <w:tc>
          <w:tcPr>
            <w:tcW w:w="850" w:type="dxa"/>
            <w:noWrap w:val="0"/>
            <w:vAlign w:val="center"/>
          </w:tcPr>
          <w:p w14:paraId="79A5AA5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5E6559F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按照总体准入的生态空间总体管控要求中水源涵养相应管控要求执行。</w:t>
            </w:r>
          </w:p>
        </w:tc>
      </w:tr>
      <w:tr w14:paraId="772D2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112314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4902F6C">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15A6FC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00B4E56">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1ED6347">
            <w:pPr>
              <w:widowControl/>
              <w:spacing w:line="0" w:lineRule="atLeast"/>
              <w:jc w:val="center"/>
              <w:rPr>
                <w:rFonts w:ascii="仿宋" w:hAnsi="仿宋" w:eastAsia="仿宋" w:cs="仿宋"/>
                <w:bCs/>
                <w:spacing w:val="-10"/>
                <w:kern w:val="0"/>
                <w:sz w:val="24"/>
              </w:rPr>
            </w:pPr>
          </w:p>
        </w:tc>
        <w:tc>
          <w:tcPr>
            <w:tcW w:w="850" w:type="dxa"/>
            <w:noWrap w:val="0"/>
            <w:vAlign w:val="center"/>
          </w:tcPr>
          <w:p w14:paraId="5898161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38CC4B4">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C433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3E7251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3774FB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3D0260A">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C6351A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40BAB06">
            <w:pPr>
              <w:widowControl/>
              <w:spacing w:line="0" w:lineRule="atLeast"/>
              <w:jc w:val="center"/>
              <w:rPr>
                <w:rFonts w:ascii="仿宋" w:hAnsi="仿宋" w:eastAsia="仿宋" w:cs="仿宋"/>
                <w:bCs/>
                <w:spacing w:val="-10"/>
                <w:kern w:val="0"/>
                <w:sz w:val="24"/>
              </w:rPr>
            </w:pPr>
          </w:p>
        </w:tc>
        <w:tc>
          <w:tcPr>
            <w:tcW w:w="850" w:type="dxa"/>
            <w:noWrap w:val="0"/>
            <w:vAlign w:val="center"/>
          </w:tcPr>
          <w:p w14:paraId="7F084CC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CEC6138">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6D89E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0861A9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54EEB2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2C97487">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895D91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BE80AA9">
            <w:pPr>
              <w:widowControl/>
              <w:spacing w:line="0" w:lineRule="atLeast"/>
              <w:jc w:val="center"/>
              <w:rPr>
                <w:rFonts w:ascii="仿宋" w:hAnsi="仿宋" w:eastAsia="仿宋" w:cs="仿宋"/>
                <w:bCs/>
                <w:spacing w:val="-10"/>
                <w:kern w:val="0"/>
                <w:sz w:val="24"/>
              </w:rPr>
            </w:pPr>
          </w:p>
        </w:tc>
        <w:tc>
          <w:tcPr>
            <w:tcW w:w="850" w:type="dxa"/>
            <w:noWrap w:val="0"/>
            <w:vAlign w:val="center"/>
          </w:tcPr>
          <w:p w14:paraId="27991B1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43A5B897">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000B3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2CA9A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ZH13048110165</w:t>
            </w:r>
          </w:p>
        </w:tc>
        <w:tc>
          <w:tcPr>
            <w:tcW w:w="567" w:type="dxa"/>
            <w:vMerge w:val="restart"/>
            <w:noWrap w:val="0"/>
            <w:vAlign w:val="center"/>
          </w:tcPr>
          <w:p w14:paraId="2F79127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358F374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贺进镇、矿山镇</w:t>
            </w:r>
          </w:p>
        </w:tc>
        <w:tc>
          <w:tcPr>
            <w:tcW w:w="709" w:type="dxa"/>
            <w:vMerge w:val="restart"/>
            <w:noWrap w:val="0"/>
            <w:vAlign w:val="center"/>
          </w:tcPr>
          <w:p w14:paraId="378087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A00B1F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水源涵养-城区地下水灰岩</w:t>
            </w:r>
          </w:p>
        </w:tc>
        <w:tc>
          <w:tcPr>
            <w:tcW w:w="850" w:type="dxa"/>
            <w:noWrap w:val="0"/>
            <w:vAlign w:val="center"/>
          </w:tcPr>
          <w:p w14:paraId="737037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51573F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按照总体准入的生态空间总体管控要求中水源涵养相应管控要求执行。</w:t>
            </w:r>
          </w:p>
        </w:tc>
      </w:tr>
      <w:tr w14:paraId="5ED28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88ECAE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91021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DAA013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ACB810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49D93AB">
            <w:pPr>
              <w:widowControl/>
              <w:spacing w:line="0" w:lineRule="atLeast"/>
              <w:jc w:val="center"/>
              <w:rPr>
                <w:rFonts w:ascii="仿宋" w:hAnsi="仿宋" w:eastAsia="仿宋" w:cs="仿宋"/>
                <w:bCs/>
                <w:spacing w:val="-10"/>
                <w:kern w:val="0"/>
                <w:sz w:val="24"/>
              </w:rPr>
            </w:pPr>
          </w:p>
        </w:tc>
        <w:tc>
          <w:tcPr>
            <w:tcW w:w="850" w:type="dxa"/>
            <w:noWrap w:val="0"/>
            <w:vAlign w:val="center"/>
          </w:tcPr>
          <w:p w14:paraId="78F66C9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8A020BA">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D103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45E13B5">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3BCD8A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8E645B5">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0EC26F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626763E">
            <w:pPr>
              <w:widowControl/>
              <w:spacing w:line="0" w:lineRule="atLeast"/>
              <w:jc w:val="center"/>
              <w:rPr>
                <w:rFonts w:ascii="仿宋" w:hAnsi="仿宋" w:eastAsia="仿宋" w:cs="仿宋"/>
                <w:bCs/>
                <w:spacing w:val="-10"/>
                <w:kern w:val="0"/>
                <w:sz w:val="24"/>
              </w:rPr>
            </w:pPr>
          </w:p>
        </w:tc>
        <w:tc>
          <w:tcPr>
            <w:tcW w:w="850" w:type="dxa"/>
            <w:noWrap w:val="0"/>
            <w:vAlign w:val="center"/>
          </w:tcPr>
          <w:p w14:paraId="44BBA72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0C449DCE">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DD08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6962D7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324B0D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3FF37D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CDDC05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81D9A73">
            <w:pPr>
              <w:widowControl/>
              <w:spacing w:line="0" w:lineRule="atLeast"/>
              <w:jc w:val="center"/>
              <w:rPr>
                <w:rFonts w:ascii="仿宋" w:hAnsi="仿宋" w:eastAsia="仿宋" w:cs="仿宋"/>
                <w:bCs/>
                <w:spacing w:val="-10"/>
                <w:kern w:val="0"/>
                <w:sz w:val="24"/>
              </w:rPr>
            </w:pPr>
          </w:p>
        </w:tc>
        <w:tc>
          <w:tcPr>
            <w:tcW w:w="850" w:type="dxa"/>
            <w:noWrap w:val="0"/>
            <w:vAlign w:val="center"/>
          </w:tcPr>
          <w:p w14:paraId="3E33417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26DF1A9">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E329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E17796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ZH13048110166</w:t>
            </w:r>
          </w:p>
        </w:tc>
        <w:tc>
          <w:tcPr>
            <w:tcW w:w="567" w:type="dxa"/>
            <w:vMerge w:val="restart"/>
            <w:noWrap w:val="0"/>
            <w:vAlign w:val="center"/>
          </w:tcPr>
          <w:p w14:paraId="3A9C70A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0098FF9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磁山镇、管陶乡、贺进镇、活水乡、康二城镇、矿山镇、马家庄乡、徘徊镇、阳邑镇、冶陶镇</w:t>
            </w:r>
          </w:p>
        </w:tc>
        <w:tc>
          <w:tcPr>
            <w:tcW w:w="709" w:type="dxa"/>
            <w:vMerge w:val="restart"/>
            <w:noWrap w:val="0"/>
            <w:vAlign w:val="center"/>
          </w:tcPr>
          <w:p w14:paraId="0BEFEFE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6CA6607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太行山水土保持-生物多样性维护生态保护红线</w:t>
            </w:r>
          </w:p>
        </w:tc>
        <w:tc>
          <w:tcPr>
            <w:tcW w:w="850" w:type="dxa"/>
            <w:noWrap w:val="0"/>
            <w:vAlign w:val="center"/>
          </w:tcPr>
          <w:p w14:paraId="3C08FF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22DAAB2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1.满足生态保护红线相关要求。2.按照总体准入的生态空间总体管控要求中水土保持相应管控要求执行。</w:t>
            </w:r>
          </w:p>
        </w:tc>
      </w:tr>
      <w:tr w14:paraId="6B9FC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FDC0A0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73A342C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3385A19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8B8585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AE564D4">
            <w:pPr>
              <w:widowControl/>
              <w:spacing w:line="0" w:lineRule="atLeast"/>
              <w:jc w:val="center"/>
              <w:rPr>
                <w:rFonts w:ascii="仿宋" w:hAnsi="仿宋" w:eastAsia="仿宋" w:cs="仿宋"/>
                <w:bCs/>
                <w:spacing w:val="-10"/>
                <w:kern w:val="0"/>
                <w:sz w:val="24"/>
              </w:rPr>
            </w:pPr>
          </w:p>
        </w:tc>
        <w:tc>
          <w:tcPr>
            <w:tcW w:w="850" w:type="dxa"/>
            <w:noWrap w:val="0"/>
            <w:vAlign w:val="center"/>
          </w:tcPr>
          <w:p w14:paraId="27AEB29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52D1E5C">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7EB9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B2FC2D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0C46EB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A9823D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76F72D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BBBD66B">
            <w:pPr>
              <w:widowControl/>
              <w:spacing w:line="0" w:lineRule="atLeast"/>
              <w:jc w:val="center"/>
              <w:rPr>
                <w:rFonts w:ascii="仿宋" w:hAnsi="仿宋" w:eastAsia="仿宋" w:cs="仿宋"/>
                <w:bCs/>
                <w:spacing w:val="-10"/>
                <w:kern w:val="0"/>
                <w:sz w:val="24"/>
              </w:rPr>
            </w:pPr>
          </w:p>
        </w:tc>
        <w:tc>
          <w:tcPr>
            <w:tcW w:w="850" w:type="dxa"/>
            <w:noWrap w:val="0"/>
            <w:vAlign w:val="center"/>
          </w:tcPr>
          <w:p w14:paraId="74306EB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8773AC5">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76D9D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7DAA9EF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7C4D1B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DAD916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C8E5C3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44816D9">
            <w:pPr>
              <w:widowControl/>
              <w:spacing w:line="0" w:lineRule="atLeast"/>
              <w:jc w:val="center"/>
              <w:rPr>
                <w:rFonts w:ascii="仿宋" w:hAnsi="仿宋" w:eastAsia="仿宋" w:cs="仿宋"/>
                <w:bCs/>
                <w:spacing w:val="-10"/>
                <w:kern w:val="0"/>
                <w:sz w:val="24"/>
              </w:rPr>
            </w:pPr>
          </w:p>
        </w:tc>
        <w:tc>
          <w:tcPr>
            <w:tcW w:w="850" w:type="dxa"/>
            <w:noWrap w:val="0"/>
            <w:vAlign w:val="center"/>
          </w:tcPr>
          <w:p w14:paraId="042593A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A072EA6">
            <w:pPr>
              <w:widowControl/>
              <w:spacing w:line="0" w:lineRule="atLeast"/>
              <w:ind w:firstLine="440" w:firstLineChars="200"/>
              <w:rPr>
                <w:rFonts w:ascii="仿宋" w:hAnsi="仿宋" w:eastAsia="仿宋" w:cs="仿宋"/>
                <w:spacing w:val="-10"/>
                <w:kern w:val="0"/>
                <w:sz w:val="24"/>
              </w:rPr>
            </w:pPr>
            <w:r>
              <w:rPr>
                <w:rFonts w:hint="eastAsia" w:ascii="仿宋" w:hAnsi="仿宋" w:eastAsia="仿宋" w:cs="仿宋"/>
                <w:bCs/>
                <w:spacing w:val="-10"/>
                <w:kern w:val="0"/>
                <w:sz w:val="24"/>
              </w:rPr>
              <w:t>—</w:t>
            </w:r>
          </w:p>
        </w:tc>
      </w:tr>
      <w:tr w14:paraId="41854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54891E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ZH13048110167</w:t>
            </w:r>
          </w:p>
        </w:tc>
        <w:tc>
          <w:tcPr>
            <w:tcW w:w="567" w:type="dxa"/>
            <w:vMerge w:val="restart"/>
            <w:noWrap w:val="0"/>
            <w:vAlign w:val="center"/>
          </w:tcPr>
          <w:p w14:paraId="26C5931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1BD8E46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管陶乡、贺进镇、活水乡、阳邑镇</w:t>
            </w:r>
          </w:p>
        </w:tc>
        <w:tc>
          <w:tcPr>
            <w:tcW w:w="709" w:type="dxa"/>
            <w:vMerge w:val="restart"/>
            <w:noWrap w:val="0"/>
            <w:vAlign w:val="center"/>
          </w:tcPr>
          <w:p w14:paraId="2CAB21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优先保护单元</w:t>
            </w:r>
          </w:p>
        </w:tc>
        <w:tc>
          <w:tcPr>
            <w:tcW w:w="851" w:type="dxa"/>
            <w:vMerge w:val="restart"/>
            <w:noWrap w:val="0"/>
            <w:vAlign w:val="center"/>
          </w:tcPr>
          <w:p w14:paraId="41F7E9B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国家级森林公园- 河北武安国家森林公园</w:t>
            </w:r>
          </w:p>
        </w:tc>
        <w:tc>
          <w:tcPr>
            <w:tcW w:w="850" w:type="dxa"/>
            <w:noWrap w:val="0"/>
            <w:vAlign w:val="center"/>
          </w:tcPr>
          <w:p w14:paraId="13212B4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1771033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按照《国家级自然公园管理办法（试行）》及相关管理要求执行。</w:t>
            </w:r>
          </w:p>
        </w:tc>
      </w:tr>
      <w:tr w14:paraId="1603E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108D0AC">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148E47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8A04ABF">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100AC4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7DC7C92">
            <w:pPr>
              <w:widowControl/>
              <w:spacing w:line="0" w:lineRule="atLeast"/>
              <w:jc w:val="center"/>
              <w:rPr>
                <w:rFonts w:ascii="仿宋" w:hAnsi="仿宋" w:eastAsia="仿宋" w:cs="仿宋"/>
                <w:bCs/>
                <w:spacing w:val="-10"/>
                <w:kern w:val="0"/>
                <w:sz w:val="24"/>
              </w:rPr>
            </w:pPr>
          </w:p>
        </w:tc>
        <w:tc>
          <w:tcPr>
            <w:tcW w:w="850" w:type="dxa"/>
            <w:noWrap w:val="0"/>
            <w:vAlign w:val="center"/>
          </w:tcPr>
          <w:p w14:paraId="7F0B7B1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3CE33045">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101A8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F4ECD0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56B571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7F8161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C7E8AB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8F34276">
            <w:pPr>
              <w:widowControl/>
              <w:spacing w:line="0" w:lineRule="atLeast"/>
              <w:jc w:val="center"/>
              <w:rPr>
                <w:rFonts w:ascii="仿宋" w:hAnsi="仿宋" w:eastAsia="仿宋" w:cs="仿宋"/>
                <w:bCs/>
                <w:spacing w:val="-10"/>
                <w:kern w:val="0"/>
                <w:sz w:val="24"/>
              </w:rPr>
            </w:pPr>
          </w:p>
        </w:tc>
        <w:tc>
          <w:tcPr>
            <w:tcW w:w="850" w:type="dxa"/>
            <w:noWrap w:val="0"/>
            <w:vAlign w:val="center"/>
          </w:tcPr>
          <w:p w14:paraId="1671BAB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DBD1E6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7C49B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760FC5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EC07C11">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8A8D60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473242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4D0A302">
            <w:pPr>
              <w:widowControl/>
              <w:spacing w:line="0" w:lineRule="atLeast"/>
              <w:jc w:val="center"/>
              <w:rPr>
                <w:rFonts w:ascii="仿宋" w:hAnsi="仿宋" w:eastAsia="仿宋" w:cs="仿宋"/>
                <w:bCs/>
                <w:spacing w:val="-10"/>
                <w:kern w:val="0"/>
                <w:sz w:val="24"/>
              </w:rPr>
            </w:pPr>
          </w:p>
        </w:tc>
        <w:tc>
          <w:tcPr>
            <w:tcW w:w="850" w:type="dxa"/>
            <w:noWrap w:val="0"/>
            <w:vAlign w:val="center"/>
          </w:tcPr>
          <w:p w14:paraId="20C1CED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121025B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w:t>
            </w:r>
          </w:p>
        </w:tc>
      </w:tr>
      <w:tr w14:paraId="31864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3B8F64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ZH13048120168</w:t>
            </w:r>
          </w:p>
        </w:tc>
        <w:tc>
          <w:tcPr>
            <w:tcW w:w="567" w:type="dxa"/>
            <w:vMerge w:val="restart"/>
            <w:noWrap w:val="0"/>
            <w:vAlign w:val="center"/>
          </w:tcPr>
          <w:p w14:paraId="686D1D3E">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4ACB660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磁山镇、管陶乡、活水乡、矿山镇、午汲镇、武安镇、阳邑镇</w:t>
            </w:r>
          </w:p>
        </w:tc>
        <w:tc>
          <w:tcPr>
            <w:tcW w:w="709" w:type="dxa"/>
            <w:vMerge w:val="restart"/>
            <w:noWrap w:val="0"/>
            <w:vAlign w:val="center"/>
          </w:tcPr>
          <w:p w14:paraId="2C4DF32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17E422C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大气环境高排放重点管控区</w:t>
            </w:r>
          </w:p>
        </w:tc>
        <w:tc>
          <w:tcPr>
            <w:tcW w:w="850" w:type="dxa"/>
            <w:noWrap w:val="0"/>
            <w:vAlign w:val="center"/>
          </w:tcPr>
          <w:p w14:paraId="5AC09F2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2471E31">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造纸、焦化、氮肥、有色金属、印染、农副食品加工、原料药制造、皮革、农药、电镀、钢铁、水泥、石灰、平板玻璃、石化、化工等高污染工业项目必须入园进区，其他工业项目原则上也不在园区外布局。</w:t>
            </w:r>
          </w:p>
        </w:tc>
      </w:tr>
      <w:tr w14:paraId="530AB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6FB4D5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C52BB7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992FB9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6715883">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D6678EE">
            <w:pPr>
              <w:widowControl/>
              <w:spacing w:line="0" w:lineRule="atLeast"/>
              <w:jc w:val="center"/>
              <w:rPr>
                <w:rFonts w:ascii="仿宋" w:hAnsi="仿宋" w:eastAsia="仿宋" w:cs="仿宋"/>
                <w:bCs/>
                <w:spacing w:val="-10"/>
                <w:kern w:val="0"/>
                <w:sz w:val="24"/>
              </w:rPr>
            </w:pPr>
          </w:p>
        </w:tc>
        <w:tc>
          <w:tcPr>
            <w:tcW w:w="850" w:type="dxa"/>
            <w:noWrap w:val="0"/>
            <w:vAlign w:val="center"/>
          </w:tcPr>
          <w:p w14:paraId="37CB1E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7A2B443">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加强对现有焦化企业筛焦系统、硫铵干燥系统、熄焦系统的废气治理措施，并对罐区储槽、冷鼓工段储槽、酚氰废水处理站无组织废气分别收集并处理。2.工业炉窑污染物排放满足《工业炉窑大气污染物排放标准》 (DB13/1640-2012)和《关于印发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的通知》(冀环大气〔2019〕607号)及“退后十”方案中邯郸限值要求。3.按照国家《绿色矿山建设规范》要求，推动露天矿山绿色标准化建设。</w:t>
            </w:r>
          </w:p>
        </w:tc>
      </w:tr>
      <w:tr w14:paraId="41850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3" w:hRule="atLeast"/>
          <w:jc w:val="center"/>
        </w:trPr>
        <w:tc>
          <w:tcPr>
            <w:tcW w:w="595" w:type="dxa"/>
            <w:vMerge w:val="continue"/>
            <w:noWrap w:val="0"/>
            <w:vAlign w:val="center"/>
          </w:tcPr>
          <w:p w14:paraId="1A1E8DE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44CF119">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998A28C">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CC6D66D">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64DC0089">
            <w:pPr>
              <w:widowControl/>
              <w:spacing w:line="0" w:lineRule="atLeast"/>
              <w:jc w:val="center"/>
              <w:rPr>
                <w:rFonts w:ascii="仿宋" w:hAnsi="仿宋" w:eastAsia="仿宋" w:cs="仿宋"/>
                <w:bCs/>
                <w:spacing w:val="-10"/>
                <w:kern w:val="0"/>
                <w:sz w:val="24"/>
              </w:rPr>
            </w:pPr>
          </w:p>
        </w:tc>
        <w:tc>
          <w:tcPr>
            <w:tcW w:w="850" w:type="dxa"/>
            <w:noWrap w:val="0"/>
            <w:vAlign w:val="center"/>
          </w:tcPr>
          <w:p w14:paraId="5664C731">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9731772">
            <w:pPr>
              <w:pStyle w:val="2"/>
              <w:spacing w:line="0" w:lineRule="atLeast"/>
              <w:ind w:firstLine="440"/>
              <w:rPr>
                <w:rFonts w:ascii="仿宋" w:hAnsi="仿宋" w:eastAsia="仿宋" w:cs="仿宋"/>
                <w:bCs/>
                <w:spacing w:val="-10"/>
                <w:kern w:val="0"/>
                <w:sz w:val="24"/>
                <w:szCs w:val="24"/>
              </w:rPr>
            </w:pPr>
            <w:r>
              <w:rPr>
                <w:rFonts w:hint="eastAsia" w:ascii="仿宋" w:hAnsi="仿宋" w:eastAsia="仿宋" w:cs="仿宋"/>
                <w:bCs/>
                <w:spacing w:val="-10"/>
                <w:kern w:val="0"/>
                <w:sz w:val="24"/>
                <w:szCs w:val="24"/>
              </w:rPr>
              <w:t>开发区应加强管理，严格落实规划环评及企业环评提出的风险防范措施，结合开发区突发环境事件应急预案，进一步指导开发区风险污染防控。</w:t>
            </w:r>
          </w:p>
        </w:tc>
      </w:tr>
      <w:tr w14:paraId="43C59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53" w:hRule="atLeast"/>
          <w:jc w:val="center"/>
        </w:trPr>
        <w:tc>
          <w:tcPr>
            <w:tcW w:w="595" w:type="dxa"/>
            <w:vMerge w:val="continue"/>
            <w:noWrap w:val="0"/>
            <w:vAlign w:val="center"/>
          </w:tcPr>
          <w:p w14:paraId="3A1552E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D9F507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8BFB84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3C0106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DF35E87">
            <w:pPr>
              <w:widowControl/>
              <w:spacing w:line="0" w:lineRule="atLeast"/>
              <w:jc w:val="center"/>
              <w:rPr>
                <w:rFonts w:ascii="仿宋" w:hAnsi="仿宋" w:eastAsia="仿宋" w:cs="仿宋"/>
                <w:bCs/>
                <w:spacing w:val="-10"/>
                <w:kern w:val="0"/>
                <w:sz w:val="24"/>
              </w:rPr>
            </w:pPr>
          </w:p>
        </w:tc>
        <w:tc>
          <w:tcPr>
            <w:tcW w:w="850" w:type="dxa"/>
            <w:noWrap w:val="0"/>
            <w:vAlign w:val="center"/>
          </w:tcPr>
          <w:p w14:paraId="1687558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0F67D99A">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w:t>
            </w:r>
          </w:p>
        </w:tc>
      </w:tr>
      <w:tr w14:paraId="53387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5B2D914B">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ZH13048120169</w:t>
            </w:r>
          </w:p>
        </w:tc>
        <w:tc>
          <w:tcPr>
            <w:tcW w:w="567" w:type="dxa"/>
            <w:vMerge w:val="restart"/>
            <w:noWrap w:val="0"/>
            <w:vAlign w:val="center"/>
          </w:tcPr>
          <w:p w14:paraId="10B0A679">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武安市</w:t>
            </w:r>
          </w:p>
        </w:tc>
        <w:tc>
          <w:tcPr>
            <w:tcW w:w="1134" w:type="dxa"/>
            <w:vMerge w:val="restart"/>
            <w:noWrap w:val="0"/>
            <w:vAlign w:val="center"/>
          </w:tcPr>
          <w:p w14:paraId="54D603BE">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大同镇、康二城镇、午汲镇、武安镇、西土山镇</w:t>
            </w:r>
          </w:p>
        </w:tc>
        <w:tc>
          <w:tcPr>
            <w:tcW w:w="709" w:type="dxa"/>
            <w:vMerge w:val="restart"/>
            <w:noWrap w:val="0"/>
            <w:vAlign w:val="center"/>
          </w:tcPr>
          <w:p w14:paraId="0FBA8FD5">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重点管控单元</w:t>
            </w:r>
          </w:p>
        </w:tc>
        <w:tc>
          <w:tcPr>
            <w:tcW w:w="851" w:type="dxa"/>
            <w:vMerge w:val="restart"/>
            <w:noWrap w:val="0"/>
            <w:vAlign w:val="center"/>
          </w:tcPr>
          <w:p w14:paraId="53B84A2B">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24"/>
                <w:kern w:val="0"/>
                <w:sz w:val="24"/>
              </w:rPr>
              <w:t>大气环境弱扩散重点管控区、大气环境高排放重点管控区、水环境工业污染重点管控区、河北武安工业</w:t>
            </w:r>
            <w:r>
              <w:rPr>
                <w:rFonts w:hint="eastAsia" w:ascii="仿宋" w:hAnsi="仿宋" w:eastAsia="仿宋" w:cs="仿宋"/>
                <w:bCs/>
                <w:color w:val="auto"/>
                <w:spacing w:val="-10"/>
                <w:kern w:val="0"/>
                <w:sz w:val="24"/>
              </w:rPr>
              <w:t>园区</w:t>
            </w:r>
          </w:p>
        </w:tc>
        <w:tc>
          <w:tcPr>
            <w:tcW w:w="850" w:type="dxa"/>
            <w:noWrap w:val="0"/>
            <w:vAlign w:val="center"/>
          </w:tcPr>
          <w:p w14:paraId="3FC72AC4">
            <w:pPr>
              <w:widowControl/>
              <w:spacing w:line="0" w:lineRule="atLeast"/>
              <w:jc w:val="center"/>
              <w:rPr>
                <w:rFonts w:ascii="仿宋" w:hAnsi="仿宋" w:eastAsia="仿宋" w:cs="仿宋"/>
                <w:bCs/>
                <w:color w:val="0000FF"/>
                <w:spacing w:val="-10"/>
                <w:kern w:val="0"/>
                <w:sz w:val="24"/>
              </w:rPr>
            </w:pPr>
            <w:r>
              <w:rPr>
                <w:rFonts w:hint="eastAsia" w:ascii="仿宋" w:hAnsi="仿宋" w:eastAsia="仿宋" w:cs="仿宋"/>
                <w:bCs/>
                <w:color w:val="0000FF"/>
                <w:spacing w:val="-10"/>
                <w:kern w:val="0"/>
                <w:sz w:val="24"/>
              </w:rPr>
              <w:t>空间布局</w:t>
            </w:r>
          </w:p>
        </w:tc>
        <w:tc>
          <w:tcPr>
            <w:tcW w:w="4195" w:type="dxa"/>
            <w:noWrap w:val="0"/>
            <w:vAlign w:val="center"/>
          </w:tcPr>
          <w:p w14:paraId="0FA5F464">
            <w:pPr>
              <w:widowControl/>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1、严格控制工业用地对周边居住区的环境影响，将污染较重的生产工序布置于远离敏感区一侧；</w:t>
            </w:r>
          </w:p>
          <w:p w14:paraId="549F3998">
            <w:pPr>
              <w:widowControl/>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2、新建项目应加强废气和噪声污染防治措施，在环评中重点论证对周边环境敏感目标的大气、噪声环境的影响；</w:t>
            </w:r>
          </w:p>
          <w:p w14:paraId="2EB4C282">
            <w:pPr>
              <w:widowControl/>
              <w:spacing w:line="0" w:lineRule="atLeast"/>
              <w:ind w:firstLine="440" w:firstLineChars="200"/>
              <w:rPr>
                <w:rFonts w:ascii="仿宋" w:hAnsi="仿宋" w:eastAsia="仿宋" w:cs="仿宋"/>
                <w:bCs/>
                <w:color w:val="0000FF"/>
                <w:spacing w:val="-10"/>
                <w:kern w:val="0"/>
                <w:sz w:val="24"/>
              </w:rPr>
            </w:pPr>
            <w:r>
              <w:rPr>
                <w:rFonts w:hint="eastAsia" w:ascii="仿宋" w:hAnsi="仿宋" w:eastAsia="仿宋" w:cs="仿宋"/>
                <w:bCs/>
                <w:color w:val="0000FF"/>
                <w:spacing w:val="-10"/>
                <w:kern w:val="0"/>
                <w:sz w:val="24"/>
              </w:rPr>
              <w:t>3、下列项目禁止入区：不符合园区规划环评管控要求的项目；不能落实节能审查、产能置换、重点污染物总量控制、污染物排放区域削减要求的“两高”项目；水的重复利用率低于75%的项目；废水含难降解的有机污染物、“三致”污染物及盐份含量较高的项目；废水经预处理达不到污水处理厂接管标准的项目；工艺废气中含有难处理的、有毒有害物质的项目；采用落后的生产工艺或生产设备，不符合国家相关产业政策、达不到规模经济的项目。</w:t>
            </w:r>
          </w:p>
        </w:tc>
      </w:tr>
      <w:tr w14:paraId="05952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D38D36E">
            <w:pPr>
              <w:widowControl/>
              <w:spacing w:line="0" w:lineRule="atLeast"/>
              <w:jc w:val="center"/>
              <w:rPr>
                <w:rFonts w:ascii="仿宋" w:hAnsi="仿宋" w:eastAsia="仿宋" w:cs="仿宋"/>
                <w:bCs/>
                <w:color w:val="0000FF"/>
                <w:spacing w:val="-10"/>
                <w:kern w:val="0"/>
                <w:sz w:val="24"/>
              </w:rPr>
            </w:pPr>
          </w:p>
        </w:tc>
        <w:tc>
          <w:tcPr>
            <w:tcW w:w="567" w:type="dxa"/>
            <w:vMerge w:val="continue"/>
            <w:noWrap w:val="0"/>
            <w:vAlign w:val="center"/>
          </w:tcPr>
          <w:p w14:paraId="4A8FF605">
            <w:pPr>
              <w:widowControl/>
              <w:spacing w:line="0" w:lineRule="atLeast"/>
              <w:jc w:val="center"/>
              <w:rPr>
                <w:rFonts w:ascii="仿宋" w:hAnsi="仿宋" w:eastAsia="仿宋" w:cs="仿宋"/>
                <w:bCs/>
                <w:color w:val="0000FF"/>
                <w:spacing w:val="-10"/>
                <w:kern w:val="0"/>
                <w:sz w:val="24"/>
              </w:rPr>
            </w:pPr>
          </w:p>
        </w:tc>
        <w:tc>
          <w:tcPr>
            <w:tcW w:w="1134" w:type="dxa"/>
            <w:vMerge w:val="continue"/>
            <w:noWrap w:val="0"/>
            <w:vAlign w:val="center"/>
          </w:tcPr>
          <w:p w14:paraId="792D9744">
            <w:pPr>
              <w:widowControl/>
              <w:spacing w:line="0" w:lineRule="atLeast"/>
              <w:jc w:val="center"/>
              <w:rPr>
                <w:rFonts w:ascii="仿宋" w:hAnsi="仿宋" w:eastAsia="仿宋" w:cs="仿宋"/>
                <w:bCs/>
                <w:color w:val="0000FF"/>
                <w:spacing w:val="-10"/>
                <w:kern w:val="0"/>
                <w:sz w:val="24"/>
              </w:rPr>
            </w:pPr>
          </w:p>
        </w:tc>
        <w:tc>
          <w:tcPr>
            <w:tcW w:w="709" w:type="dxa"/>
            <w:vMerge w:val="continue"/>
            <w:noWrap w:val="0"/>
            <w:vAlign w:val="center"/>
          </w:tcPr>
          <w:p w14:paraId="31A1D124">
            <w:pPr>
              <w:widowControl/>
              <w:spacing w:line="0" w:lineRule="atLeast"/>
              <w:jc w:val="center"/>
              <w:rPr>
                <w:rFonts w:ascii="仿宋" w:hAnsi="仿宋" w:eastAsia="仿宋" w:cs="仿宋"/>
                <w:bCs/>
                <w:color w:val="0000FF"/>
                <w:spacing w:val="-10"/>
                <w:kern w:val="0"/>
                <w:sz w:val="24"/>
              </w:rPr>
            </w:pPr>
          </w:p>
        </w:tc>
        <w:tc>
          <w:tcPr>
            <w:tcW w:w="851" w:type="dxa"/>
            <w:vMerge w:val="continue"/>
            <w:noWrap w:val="0"/>
            <w:vAlign w:val="center"/>
          </w:tcPr>
          <w:p w14:paraId="6E9E84AA">
            <w:pPr>
              <w:widowControl/>
              <w:spacing w:line="0" w:lineRule="atLeast"/>
              <w:jc w:val="center"/>
              <w:rPr>
                <w:rFonts w:ascii="仿宋" w:hAnsi="仿宋" w:eastAsia="仿宋" w:cs="仿宋"/>
                <w:bCs/>
                <w:color w:val="0000FF"/>
                <w:spacing w:val="-10"/>
                <w:kern w:val="0"/>
                <w:sz w:val="24"/>
              </w:rPr>
            </w:pPr>
          </w:p>
        </w:tc>
        <w:tc>
          <w:tcPr>
            <w:tcW w:w="850" w:type="dxa"/>
            <w:noWrap w:val="0"/>
            <w:vAlign w:val="center"/>
          </w:tcPr>
          <w:p w14:paraId="2E221421">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23"/>
                <w:kern w:val="0"/>
                <w:sz w:val="24"/>
              </w:rPr>
              <w:t>污染物排放管控</w:t>
            </w:r>
          </w:p>
        </w:tc>
        <w:tc>
          <w:tcPr>
            <w:tcW w:w="4195" w:type="dxa"/>
            <w:noWrap w:val="0"/>
            <w:vAlign w:val="center"/>
          </w:tcPr>
          <w:p w14:paraId="7A54401E">
            <w:pPr>
              <w:widowControl/>
              <w:spacing w:line="0" w:lineRule="atLeast"/>
              <w:ind w:firstLine="440" w:firstLineChars="200"/>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1.开发区内锅炉污染物排放满足《锅炉大气污染物排放标准》（DB13/5161-2020）相应排放限值要求。2.开发区内工业炉窑污染物排放满足《工业炉窑大气污染物排放标准》（DB13/1640-2012）中的相应排放限值，并满足《关于印发</w:t>
            </w:r>
            <w:r>
              <w:rPr>
                <w:rFonts w:hint="eastAsia" w:ascii="仿宋" w:hAnsi="仿宋" w:eastAsia="仿宋" w:cs="仿宋"/>
                <w:bCs/>
                <w:color w:val="auto"/>
                <w:spacing w:val="-10"/>
                <w:kern w:val="0"/>
                <w:sz w:val="24"/>
                <w:lang w:eastAsia="zh-CN"/>
              </w:rPr>
              <w:t>〈河北省工业炉窑综合治理实施方案〉</w:t>
            </w:r>
            <w:r>
              <w:rPr>
                <w:rFonts w:hint="eastAsia" w:ascii="仿宋" w:hAnsi="仿宋" w:eastAsia="仿宋" w:cs="仿宋"/>
                <w:bCs/>
                <w:color w:val="auto"/>
                <w:spacing w:val="-10"/>
                <w:kern w:val="0"/>
                <w:sz w:val="24"/>
              </w:rPr>
              <w:t>的通知》(冀环大气〔2019〕607号)及“退后十”方案中邯郸限值要求。</w:t>
            </w:r>
          </w:p>
        </w:tc>
      </w:tr>
      <w:tr w14:paraId="35546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0D8C71C">
            <w:pPr>
              <w:widowControl/>
              <w:spacing w:line="0" w:lineRule="atLeast"/>
              <w:jc w:val="center"/>
              <w:rPr>
                <w:rFonts w:ascii="仿宋" w:hAnsi="仿宋" w:eastAsia="仿宋" w:cs="仿宋"/>
                <w:bCs/>
                <w:color w:val="0000FF"/>
                <w:spacing w:val="-10"/>
                <w:kern w:val="0"/>
                <w:sz w:val="24"/>
              </w:rPr>
            </w:pPr>
          </w:p>
        </w:tc>
        <w:tc>
          <w:tcPr>
            <w:tcW w:w="567" w:type="dxa"/>
            <w:vMerge w:val="continue"/>
            <w:noWrap w:val="0"/>
            <w:vAlign w:val="center"/>
          </w:tcPr>
          <w:p w14:paraId="0617FE4D">
            <w:pPr>
              <w:widowControl/>
              <w:spacing w:line="0" w:lineRule="atLeast"/>
              <w:jc w:val="center"/>
              <w:rPr>
                <w:rFonts w:ascii="仿宋" w:hAnsi="仿宋" w:eastAsia="仿宋" w:cs="仿宋"/>
                <w:bCs/>
                <w:color w:val="0000FF"/>
                <w:spacing w:val="-10"/>
                <w:kern w:val="0"/>
                <w:sz w:val="24"/>
              </w:rPr>
            </w:pPr>
          </w:p>
        </w:tc>
        <w:tc>
          <w:tcPr>
            <w:tcW w:w="1134" w:type="dxa"/>
            <w:vMerge w:val="continue"/>
            <w:noWrap w:val="0"/>
            <w:vAlign w:val="center"/>
          </w:tcPr>
          <w:p w14:paraId="543AFA94">
            <w:pPr>
              <w:widowControl/>
              <w:spacing w:line="0" w:lineRule="atLeast"/>
              <w:jc w:val="center"/>
              <w:rPr>
                <w:rFonts w:ascii="仿宋" w:hAnsi="仿宋" w:eastAsia="仿宋" w:cs="仿宋"/>
                <w:bCs/>
                <w:color w:val="0000FF"/>
                <w:spacing w:val="-10"/>
                <w:kern w:val="0"/>
                <w:sz w:val="24"/>
              </w:rPr>
            </w:pPr>
          </w:p>
        </w:tc>
        <w:tc>
          <w:tcPr>
            <w:tcW w:w="709" w:type="dxa"/>
            <w:vMerge w:val="continue"/>
            <w:noWrap w:val="0"/>
            <w:vAlign w:val="center"/>
          </w:tcPr>
          <w:p w14:paraId="05947B52">
            <w:pPr>
              <w:widowControl/>
              <w:spacing w:line="0" w:lineRule="atLeast"/>
              <w:jc w:val="center"/>
              <w:rPr>
                <w:rFonts w:ascii="仿宋" w:hAnsi="仿宋" w:eastAsia="仿宋" w:cs="仿宋"/>
                <w:bCs/>
                <w:color w:val="0000FF"/>
                <w:spacing w:val="-10"/>
                <w:kern w:val="0"/>
                <w:sz w:val="24"/>
              </w:rPr>
            </w:pPr>
          </w:p>
        </w:tc>
        <w:tc>
          <w:tcPr>
            <w:tcW w:w="851" w:type="dxa"/>
            <w:vMerge w:val="continue"/>
            <w:noWrap w:val="0"/>
            <w:vAlign w:val="center"/>
          </w:tcPr>
          <w:p w14:paraId="33683B22">
            <w:pPr>
              <w:widowControl/>
              <w:spacing w:line="0" w:lineRule="atLeast"/>
              <w:jc w:val="center"/>
              <w:rPr>
                <w:rFonts w:ascii="仿宋" w:hAnsi="仿宋" w:eastAsia="仿宋" w:cs="仿宋"/>
                <w:bCs/>
                <w:color w:val="0000FF"/>
                <w:spacing w:val="-10"/>
                <w:kern w:val="0"/>
                <w:sz w:val="24"/>
              </w:rPr>
            </w:pPr>
          </w:p>
        </w:tc>
        <w:tc>
          <w:tcPr>
            <w:tcW w:w="850" w:type="dxa"/>
            <w:noWrap w:val="0"/>
            <w:vAlign w:val="center"/>
          </w:tcPr>
          <w:p w14:paraId="3B840AC7">
            <w:pPr>
              <w:widowControl/>
              <w:spacing w:line="0" w:lineRule="atLeast"/>
              <w:jc w:val="center"/>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环境风险防控</w:t>
            </w:r>
          </w:p>
        </w:tc>
        <w:tc>
          <w:tcPr>
            <w:tcW w:w="4195" w:type="dxa"/>
            <w:noWrap w:val="0"/>
            <w:vAlign w:val="center"/>
          </w:tcPr>
          <w:p w14:paraId="160961C3">
            <w:pPr>
              <w:widowControl/>
              <w:spacing w:line="0" w:lineRule="atLeast"/>
              <w:ind w:firstLine="440" w:firstLineChars="200"/>
              <w:rPr>
                <w:rFonts w:ascii="仿宋" w:hAnsi="仿宋" w:eastAsia="仿宋" w:cs="仿宋"/>
                <w:bCs/>
                <w:color w:val="auto"/>
                <w:spacing w:val="-10"/>
                <w:kern w:val="0"/>
                <w:sz w:val="24"/>
              </w:rPr>
            </w:pPr>
            <w:r>
              <w:rPr>
                <w:rFonts w:hint="eastAsia" w:ascii="仿宋" w:hAnsi="仿宋" w:eastAsia="仿宋" w:cs="仿宋"/>
                <w:bCs/>
                <w:color w:val="auto"/>
                <w:spacing w:val="-10"/>
                <w:kern w:val="0"/>
                <w:sz w:val="24"/>
              </w:rPr>
              <w:t>1.开发区应加强管理，严格落实规划环评及企业环评提出的风险防范措施，结合开发区突发环境事件应急预案，进一步指导开发区风险污染防控。2.确定地下水污染来源和路径，进行污染风险评估。</w:t>
            </w:r>
          </w:p>
        </w:tc>
      </w:tr>
      <w:tr w14:paraId="39902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501427C">
            <w:pPr>
              <w:widowControl/>
              <w:spacing w:line="0" w:lineRule="atLeast"/>
              <w:jc w:val="center"/>
              <w:rPr>
                <w:rFonts w:ascii="仿宋" w:hAnsi="仿宋" w:eastAsia="仿宋" w:cs="仿宋"/>
                <w:bCs/>
                <w:color w:val="0000FF"/>
                <w:spacing w:val="-10"/>
                <w:kern w:val="0"/>
                <w:sz w:val="24"/>
              </w:rPr>
            </w:pPr>
          </w:p>
        </w:tc>
        <w:tc>
          <w:tcPr>
            <w:tcW w:w="567" w:type="dxa"/>
            <w:vMerge w:val="continue"/>
            <w:noWrap w:val="0"/>
            <w:vAlign w:val="center"/>
          </w:tcPr>
          <w:p w14:paraId="6A8D759E">
            <w:pPr>
              <w:widowControl/>
              <w:spacing w:line="0" w:lineRule="atLeast"/>
              <w:jc w:val="center"/>
              <w:rPr>
                <w:rFonts w:ascii="仿宋" w:hAnsi="仿宋" w:eastAsia="仿宋" w:cs="仿宋"/>
                <w:bCs/>
                <w:color w:val="0000FF"/>
                <w:spacing w:val="-10"/>
                <w:kern w:val="0"/>
                <w:sz w:val="24"/>
              </w:rPr>
            </w:pPr>
          </w:p>
        </w:tc>
        <w:tc>
          <w:tcPr>
            <w:tcW w:w="1134" w:type="dxa"/>
            <w:vMerge w:val="continue"/>
            <w:noWrap w:val="0"/>
            <w:vAlign w:val="center"/>
          </w:tcPr>
          <w:p w14:paraId="6854D3BF">
            <w:pPr>
              <w:widowControl/>
              <w:spacing w:line="0" w:lineRule="atLeast"/>
              <w:jc w:val="center"/>
              <w:rPr>
                <w:rFonts w:ascii="仿宋" w:hAnsi="仿宋" w:eastAsia="仿宋" w:cs="仿宋"/>
                <w:bCs/>
                <w:color w:val="0000FF"/>
                <w:spacing w:val="-10"/>
                <w:kern w:val="0"/>
                <w:sz w:val="24"/>
              </w:rPr>
            </w:pPr>
          </w:p>
        </w:tc>
        <w:tc>
          <w:tcPr>
            <w:tcW w:w="709" w:type="dxa"/>
            <w:vMerge w:val="continue"/>
            <w:noWrap w:val="0"/>
            <w:vAlign w:val="center"/>
          </w:tcPr>
          <w:p w14:paraId="050ACEBE">
            <w:pPr>
              <w:widowControl/>
              <w:spacing w:line="0" w:lineRule="atLeast"/>
              <w:jc w:val="center"/>
              <w:rPr>
                <w:rFonts w:ascii="仿宋" w:hAnsi="仿宋" w:eastAsia="仿宋" w:cs="仿宋"/>
                <w:bCs/>
                <w:color w:val="0000FF"/>
                <w:spacing w:val="-10"/>
                <w:kern w:val="0"/>
                <w:sz w:val="24"/>
              </w:rPr>
            </w:pPr>
          </w:p>
        </w:tc>
        <w:tc>
          <w:tcPr>
            <w:tcW w:w="851" w:type="dxa"/>
            <w:vMerge w:val="continue"/>
            <w:noWrap w:val="0"/>
            <w:vAlign w:val="center"/>
          </w:tcPr>
          <w:p w14:paraId="2173C0A2">
            <w:pPr>
              <w:widowControl/>
              <w:spacing w:line="0" w:lineRule="atLeast"/>
              <w:jc w:val="center"/>
              <w:rPr>
                <w:rFonts w:ascii="仿宋" w:hAnsi="仿宋" w:eastAsia="仿宋" w:cs="仿宋"/>
                <w:bCs/>
                <w:color w:val="0000FF"/>
                <w:spacing w:val="-10"/>
                <w:kern w:val="0"/>
                <w:sz w:val="24"/>
              </w:rPr>
            </w:pPr>
          </w:p>
        </w:tc>
        <w:tc>
          <w:tcPr>
            <w:tcW w:w="850" w:type="dxa"/>
            <w:noWrap w:val="0"/>
            <w:vAlign w:val="center"/>
          </w:tcPr>
          <w:p w14:paraId="53EF1940">
            <w:pPr>
              <w:widowControl/>
              <w:spacing w:line="0" w:lineRule="atLeast"/>
              <w:jc w:val="center"/>
              <w:rPr>
                <w:rFonts w:ascii="仿宋" w:hAnsi="仿宋" w:eastAsia="仿宋" w:cs="仿宋"/>
                <w:bCs/>
                <w:color w:val="0000FF"/>
                <w:spacing w:val="-10"/>
                <w:kern w:val="0"/>
                <w:sz w:val="24"/>
              </w:rPr>
            </w:pPr>
            <w:r>
              <w:rPr>
                <w:rFonts w:hint="eastAsia" w:ascii="仿宋" w:hAnsi="仿宋" w:eastAsia="仿宋" w:cs="仿宋"/>
                <w:bCs/>
                <w:color w:val="0000FF"/>
                <w:spacing w:val="-10"/>
                <w:kern w:val="0"/>
                <w:sz w:val="24"/>
              </w:rPr>
              <w:t>资源利用效率</w:t>
            </w:r>
          </w:p>
        </w:tc>
        <w:tc>
          <w:tcPr>
            <w:tcW w:w="4195" w:type="dxa"/>
            <w:noWrap w:val="0"/>
            <w:vAlign w:val="center"/>
          </w:tcPr>
          <w:p w14:paraId="2A623DB6">
            <w:pPr>
              <w:widowControl/>
              <w:spacing w:line="0" w:lineRule="atLeast"/>
              <w:ind w:firstLine="440" w:firstLineChars="200"/>
              <w:rPr>
                <w:rFonts w:hint="eastAsia" w:ascii="仿宋" w:hAnsi="仿宋" w:eastAsia="仿宋" w:cs="仿宋"/>
                <w:bCs/>
                <w:color w:val="0000FF"/>
                <w:spacing w:val="-10"/>
                <w:kern w:val="0"/>
                <w:sz w:val="24"/>
              </w:rPr>
            </w:pPr>
            <w:r>
              <w:rPr>
                <w:rFonts w:hint="eastAsia" w:ascii="仿宋" w:hAnsi="仿宋" w:eastAsia="仿宋" w:cs="仿宋"/>
                <w:bCs/>
                <w:color w:val="0000FF"/>
                <w:spacing w:val="-10"/>
                <w:kern w:val="0"/>
                <w:sz w:val="24"/>
              </w:rPr>
              <w:t>1、园区各行业水耗应满足《水利部关于印发钢铁等十八项工业用水定额的通知》(水节约[2019]373号)、《河北省用水定额》的相关要求；水重复利用率应达到《六部委关于印发工业废水循环利用实施方案的通知》(工信部联节〔2021〕213号)中相关要求；</w:t>
            </w:r>
          </w:p>
          <w:p w14:paraId="4B3690EF">
            <w:pPr>
              <w:widowControl/>
              <w:spacing w:line="0" w:lineRule="atLeast"/>
              <w:ind w:firstLine="440" w:firstLineChars="200"/>
              <w:rPr>
                <w:rFonts w:ascii="仿宋" w:hAnsi="仿宋" w:eastAsia="仿宋" w:cs="仿宋"/>
                <w:bCs/>
                <w:color w:val="0000FF"/>
                <w:spacing w:val="-10"/>
                <w:kern w:val="0"/>
                <w:sz w:val="24"/>
              </w:rPr>
            </w:pPr>
            <w:r>
              <w:rPr>
                <w:rFonts w:hint="eastAsia" w:ascii="仿宋" w:hAnsi="仿宋" w:eastAsia="仿宋" w:cs="仿宋"/>
                <w:bCs/>
                <w:color w:val="0000FF"/>
                <w:spacing w:val="-10"/>
                <w:kern w:val="0"/>
                <w:sz w:val="24"/>
              </w:rPr>
              <w:t>2、入驻项目能耗应达到行业清洁生产国内先进要求</w:t>
            </w:r>
          </w:p>
        </w:tc>
      </w:tr>
      <w:tr w14:paraId="1A98F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4B5091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ZH13048120170</w:t>
            </w:r>
          </w:p>
        </w:tc>
        <w:tc>
          <w:tcPr>
            <w:tcW w:w="567" w:type="dxa"/>
            <w:vMerge w:val="restart"/>
            <w:noWrap w:val="0"/>
            <w:vAlign w:val="center"/>
          </w:tcPr>
          <w:p w14:paraId="1402C76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3FE0368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康二城镇、午汲镇、武安镇、西土山镇</w:t>
            </w:r>
          </w:p>
        </w:tc>
        <w:tc>
          <w:tcPr>
            <w:tcW w:w="709" w:type="dxa"/>
            <w:vMerge w:val="restart"/>
            <w:noWrap w:val="0"/>
            <w:vAlign w:val="center"/>
          </w:tcPr>
          <w:p w14:paraId="75DB24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62CCDB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大气环境受体敏感重点管控区、水环境城镇生活污染重点管控区</w:t>
            </w:r>
          </w:p>
        </w:tc>
        <w:tc>
          <w:tcPr>
            <w:tcW w:w="850" w:type="dxa"/>
            <w:noWrap w:val="0"/>
            <w:vAlign w:val="center"/>
          </w:tcPr>
          <w:p w14:paraId="1005A53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77046538">
            <w:pPr>
              <w:widowControl/>
              <w:spacing w:line="0" w:lineRule="atLeast"/>
              <w:ind w:firstLine="416" w:firstLineChars="200"/>
              <w:rPr>
                <w:rFonts w:ascii="仿宋" w:hAnsi="仿宋" w:eastAsia="仿宋" w:cs="仿宋"/>
                <w:bCs/>
                <w:spacing w:val="-16"/>
                <w:kern w:val="0"/>
                <w:sz w:val="24"/>
              </w:rPr>
            </w:pPr>
            <w:r>
              <w:rPr>
                <w:rFonts w:hint="eastAsia" w:ascii="仿宋" w:hAnsi="仿宋" w:eastAsia="仿宋" w:cs="仿宋"/>
                <w:bCs/>
                <w:spacing w:val="-16"/>
                <w:kern w:val="0"/>
                <w:sz w:val="24"/>
              </w:rPr>
              <w:t>1.项目建设应考虑对周边敏感区的环境影响。2.造纸、焦化、氮肥、有色金属、印染、农副食品加工、原料药制造、皮革、农药、电镀、钢铁、水泥、石灰、平板玻璃、石化、化工等高污染工业项目必须入园进区，其他工业项目原则上也不在园区外布局。</w:t>
            </w:r>
          </w:p>
        </w:tc>
      </w:tr>
      <w:tr w14:paraId="6ADC2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748B0B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B50B47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E74A380">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EDA066E">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123D0442">
            <w:pPr>
              <w:widowControl/>
              <w:spacing w:line="0" w:lineRule="atLeast"/>
              <w:jc w:val="center"/>
              <w:rPr>
                <w:rFonts w:ascii="仿宋" w:hAnsi="仿宋" w:eastAsia="仿宋" w:cs="仿宋"/>
                <w:bCs/>
                <w:spacing w:val="-10"/>
                <w:kern w:val="0"/>
                <w:sz w:val="24"/>
              </w:rPr>
            </w:pPr>
          </w:p>
        </w:tc>
        <w:tc>
          <w:tcPr>
            <w:tcW w:w="850" w:type="dxa"/>
            <w:noWrap w:val="0"/>
            <w:vAlign w:val="center"/>
          </w:tcPr>
          <w:p w14:paraId="1B373B7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61D83B6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对于国家排放标准中已规定大气污染物特别排放限值的行业，新建项目执行大气污染物特别排放限值，现有企业或设施按照相应标准中时间要求执行特别排放限值，有行业标准的从严执行。钢铁、焦化、水泥、平板玻璃、锅炉按照河北省超低排放标准中时间要求执行超低排放限值。2.涉及“退后十”方案中重点行业深度治理清单的工业企业，严格按照“退后十”方案中要求执行。</w:t>
            </w:r>
          </w:p>
        </w:tc>
      </w:tr>
      <w:tr w14:paraId="44DB8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8EC726E">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E3E439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7FE17A9">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5DA161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A083844">
            <w:pPr>
              <w:widowControl/>
              <w:spacing w:line="0" w:lineRule="atLeast"/>
              <w:jc w:val="center"/>
              <w:rPr>
                <w:rFonts w:ascii="仿宋" w:hAnsi="仿宋" w:eastAsia="仿宋" w:cs="仿宋"/>
                <w:bCs/>
                <w:spacing w:val="-10"/>
                <w:kern w:val="0"/>
                <w:sz w:val="24"/>
              </w:rPr>
            </w:pPr>
          </w:p>
        </w:tc>
        <w:tc>
          <w:tcPr>
            <w:tcW w:w="850" w:type="dxa"/>
            <w:noWrap w:val="0"/>
            <w:vAlign w:val="center"/>
          </w:tcPr>
          <w:p w14:paraId="1841929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4FCCA57">
            <w:pPr>
              <w:widowControl/>
              <w:spacing w:line="0" w:lineRule="atLeast"/>
              <w:ind w:firstLine="440" w:firstLineChars="200"/>
              <w:rPr>
                <w:rFonts w:ascii="仿宋" w:hAnsi="仿宋" w:eastAsia="仿宋" w:cs="仿宋"/>
                <w:spacing w:val="-10"/>
                <w:sz w:val="24"/>
              </w:rPr>
            </w:pPr>
            <w:r>
              <w:rPr>
                <w:rFonts w:hint="eastAsia" w:ascii="仿宋" w:hAnsi="仿宋" w:eastAsia="仿宋" w:cs="仿宋"/>
                <w:spacing w:val="-10"/>
                <w:sz w:val="24"/>
              </w:rPr>
              <w:t>1.提出合理有效的环境风险防范措施和环境风险应急预案的编制要求，纳入区域环境风险应急联动机制。2.</w:t>
            </w:r>
            <w:r>
              <w:rPr>
                <w:rFonts w:hint="eastAsia" w:ascii="仿宋" w:hAnsi="仿宋" w:eastAsia="仿宋" w:cs="仿宋"/>
                <w:bCs/>
                <w:spacing w:val="-10"/>
                <w:kern w:val="0"/>
                <w:sz w:val="24"/>
              </w:rPr>
              <w:t>落实重金属相关行业规范条件，禁止新建落后产能项目，严禁产能严重过剩行业新增产能建设项目。禁止向涉重金属相关行业落后产能和产能过剩行业供应土地。</w:t>
            </w:r>
          </w:p>
        </w:tc>
      </w:tr>
      <w:tr w14:paraId="3A0F2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331A0609">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BDC383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0EA5E34">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314F6A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46F61CB">
            <w:pPr>
              <w:widowControl/>
              <w:spacing w:line="0" w:lineRule="atLeast"/>
              <w:jc w:val="center"/>
              <w:rPr>
                <w:rFonts w:ascii="仿宋" w:hAnsi="仿宋" w:eastAsia="仿宋" w:cs="仿宋"/>
                <w:bCs/>
                <w:spacing w:val="-10"/>
                <w:kern w:val="0"/>
                <w:sz w:val="24"/>
              </w:rPr>
            </w:pPr>
          </w:p>
        </w:tc>
        <w:tc>
          <w:tcPr>
            <w:tcW w:w="850" w:type="dxa"/>
            <w:noWrap w:val="0"/>
            <w:vAlign w:val="center"/>
          </w:tcPr>
          <w:p w14:paraId="43E28CA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36398652">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w:t>
            </w:r>
          </w:p>
        </w:tc>
      </w:tr>
      <w:tr w14:paraId="2B3ED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0752418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ZH13048120171</w:t>
            </w:r>
          </w:p>
        </w:tc>
        <w:tc>
          <w:tcPr>
            <w:tcW w:w="567" w:type="dxa"/>
            <w:vMerge w:val="restart"/>
            <w:noWrap w:val="0"/>
            <w:vAlign w:val="center"/>
          </w:tcPr>
          <w:p w14:paraId="1FEC30D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4B48624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伯延镇、大同镇、贺进镇、康二城镇、徘徊镇、上团城镇、石洞乡、西寺庄乡、西土山镇、冶陶镇</w:t>
            </w:r>
          </w:p>
        </w:tc>
        <w:tc>
          <w:tcPr>
            <w:tcW w:w="709" w:type="dxa"/>
            <w:vMerge w:val="restart"/>
            <w:noWrap w:val="0"/>
            <w:vAlign w:val="center"/>
          </w:tcPr>
          <w:p w14:paraId="31871D5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00723E09">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大气环境弱扩散重点管控区</w:t>
            </w:r>
          </w:p>
        </w:tc>
        <w:tc>
          <w:tcPr>
            <w:tcW w:w="850" w:type="dxa"/>
            <w:noWrap w:val="0"/>
            <w:vAlign w:val="center"/>
          </w:tcPr>
          <w:p w14:paraId="22ACFFD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0ABC2A0A">
            <w:pPr>
              <w:pStyle w:val="2"/>
              <w:spacing w:line="0" w:lineRule="atLeast"/>
              <w:ind w:firstLine="440"/>
              <w:rPr>
                <w:rFonts w:ascii="仿宋" w:hAnsi="仿宋" w:eastAsia="仿宋" w:cs="仿宋"/>
                <w:spacing w:val="-10"/>
                <w:sz w:val="24"/>
                <w:szCs w:val="24"/>
              </w:rPr>
            </w:pPr>
            <w:r>
              <w:rPr>
                <w:rFonts w:hint="eastAsia" w:ascii="仿宋" w:hAnsi="仿宋" w:eastAsia="仿宋" w:cs="仿宋"/>
                <w:spacing w:val="-10"/>
                <w:sz w:val="24"/>
                <w:szCs w:val="24"/>
              </w:rPr>
              <w:t>1.造</w:t>
            </w:r>
            <w:r>
              <w:rPr>
                <w:rFonts w:hint="eastAsia" w:ascii="仿宋" w:hAnsi="仿宋" w:eastAsia="仿宋" w:cs="仿宋"/>
                <w:bCs/>
                <w:spacing w:val="-10"/>
                <w:kern w:val="0"/>
                <w:sz w:val="24"/>
                <w:szCs w:val="24"/>
              </w:rPr>
              <w:t>纸、焦化、氮肥、有色金属、印染、农副食品加工、原料药制造、皮革、农药、电镀、钢铁、水泥、石灰、平板玻璃、石化、化工等高污染工业项目必须入园进区，其他工业项目原则上也不在园区外布局。2.按照国家《绿色矿山建设规范》要求，推动露天矿山绿色标准化建设。</w:t>
            </w:r>
          </w:p>
        </w:tc>
      </w:tr>
      <w:tr w14:paraId="37765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69DA868">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1EE5F45E">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66240D33">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5856C0F2">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02455BF">
            <w:pPr>
              <w:widowControl/>
              <w:spacing w:line="0" w:lineRule="atLeast"/>
              <w:jc w:val="center"/>
              <w:rPr>
                <w:rFonts w:ascii="仿宋" w:hAnsi="仿宋" w:eastAsia="仿宋" w:cs="仿宋"/>
                <w:bCs/>
                <w:spacing w:val="-10"/>
                <w:kern w:val="0"/>
                <w:sz w:val="24"/>
              </w:rPr>
            </w:pPr>
          </w:p>
        </w:tc>
        <w:tc>
          <w:tcPr>
            <w:tcW w:w="850" w:type="dxa"/>
            <w:noWrap w:val="0"/>
            <w:vAlign w:val="center"/>
          </w:tcPr>
          <w:p w14:paraId="115771C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5529CAD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对于国家排放标准中已规定大气污染物特别排放限值的行业，新建项目执行大气污染物特别排放限值，现有企业或设施按照相应标准中时间要求执行特别排放限值，有行业标准的从严执行。钢铁、焦化、水泥、平板玻璃、锅炉按照河北省超低排放标准中时间要求执行超低排放限值。2.涉及“退后十”方案中重点行业深度治理清单的工业企业，严格按照“退后十”方案中要求执行。</w:t>
            </w:r>
          </w:p>
        </w:tc>
      </w:tr>
      <w:tr w14:paraId="53054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11DDAB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A3D4F27">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CAE5A7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3555FEE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8C7D48D">
            <w:pPr>
              <w:widowControl/>
              <w:spacing w:line="0" w:lineRule="atLeast"/>
              <w:jc w:val="center"/>
              <w:rPr>
                <w:rFonts w:ascii="仿宋" w:hAnsi="仿宋" w:eastAsia="仿宋" w:cs="仿宋"/>
                <w:bCs/>
                <w:spacing w:val="-10"/>
                <w:kern w:val="0"/>
                <w:sz w:val="24"/>
              </w:rPr>
            </w:pPr>
          </w:p>
        </w:tc>
        <w:tc>
          <w:tcPr>
            <w:tcW w:w="850" w:type="dxa"/>
            <w:noWrap w:val="0"/>
            <w:vAlign w:val="center"/>
          </w:tcPr>
          <w:p w14:paraId="4625BA6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458AACC9">
            <w:pPr>
              <w:widowControl/>
              <w:spacing w:line="0" w:lineRule="atLeast"/>
              <w:ind w:firstLine="440" w:firstLineChars="200"/>
              <w:rPr>
                <w:rFonts w:ascii="仿宋" w:hAnsi="仿宋" w:eastAsia="仿宋" w:cs="仿宋"/>
                <w:sz w:val="24"/>
              </w:rPr>
            </w:pPr>
            <w:r>
              <w:rPr>
                <w:rFonts w:hint="eastAsia" w:ascii="仿宋" w:hAnsi="仿宋" w:eastAsia="仿宋" w:cs="仿宋"/>
                <w:bCs/>
                <w:spacing w:val="-10"/>
                <w:kern w:val="0"/>
                <w:sz w:val="24"/>
              </w:rPr>
              <w:t>落实重金属相关行业规范条件，禁止新建落后产能项目，严禁产能严重过剩行业新增产能建设项目。禁止向涉重金属相关行业落后产能和产能过剩行业供应土地。</w:t>
            </w:r>
          </w:p>
        </w:tc>
      </w:tr>
      <w:tr w14:paraId="2FF78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E7322A3">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B974EF0">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31557C2">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7B6567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21E62259">
            <w:pPr>
              <w:widowControl/>
              <w:spacing w:line="0" w:lineRule="atLeast"/>
              <w:jc w:val="center"/>
              <w:rPr>
                <w:rFonts w:ascii="仿宋" w:hAnsi="仿宋" w:eastAsia="仿宋" w:cs="仿宋"/>
                <w:bCs/>
                <w:spacing w:val="-10"/>
                <w:kern w:val="0"/>
                <w:sz w:val="24"/>
              </w:rPr>
            </w:pPr>
          </w:p>
        </w:tc>
        <w:tc>
          <w:tcPr>
            <w:tcW w:w="850" w:type="dxa"/>
            <w:noWrap w:val="0"/>
            <w:vAlign w:val="center"/>
          </w:tcPr>
          <w:p w14:paraId="476571F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7C18BC4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w:t>
            </w:r>
          </w:p>
        </w:tc>
      </w:tr>
      <w:tr w14:paraId="28984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7ACAE9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ZH13048120172</w:t>
            </w:r>
          </w:p>
        </w:tc>
        <w:tc>
          <w:tcPr>
            <w:tcW w:w="567" w:type="dxa"/>
            <w:vMerge w:val="restart"/>
            <w:noWrap w:val="0"/>
            <w:vAlign w:val="center"/>
          </w:tcPr>
          <w:p w14:paraId="296D973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07F9E49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伯延镇、磁山镇、徘徊镇、石洞乡、午汲镇、阳邑镇、冶陶镇</w:t>
            </w:r>
          </w:p>
        </w:tc>
        <w:tc>
          <w:tcPr>
            <w:tcW w:w="709" w:type="dxa"/>
            <w:vMerge w:val="restart"/>
            <w:noWrap w:val="0"/>
            <w:vAlign w:val="center"/>
          </w:tcPr>
          <w:p w14:paraId="464F8F3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480E568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大气环境弱扩散重点管控区、大气环境高排放重点管控区、水环境工业污染重点管控区、武安市南洺河工业园区</w:t>
            </w:r>
          </w:p>
        </w:tc>
        <w:tc>
          <w:tcPr>
            <w:tcW w:w="850" w:type="dxa"/>
            <w:noWrap w:val="0"/>
            <w:vAlign w:val="center"/>
          </w:tcPr>
          <w:p w14:paraId="305F5A49">
            <w:pPr>
              <w:widowControl/>
              <w:spacing w:line="0" w:lineRule="atLeast"/>
              <w:jc w:val="center"/>
              <w:rPr>
                <w:rFonts w:ascii="仿宋" w:hAnsi="仿宋" w:eastAsia="仿宋" w:cs="仿宋"/>
                <w:bCs/>
                <w:color w:val="0000FF"/>
                <w:spacing w:val="-10"/>
                <w:kern w:val="0"/>
                <w:sz w:val="24"/>
              </w:rPr>
            </w:pPr>
            <w:r>
              <w:rPr>
                <w:rFonts w:hint="eastAsia" w:ascii="仿宋" w:hAnsi="仿宋" w:eastAsia="仿宋" w:cs="仿宋"/>
                <w:bCs/>
                <w:color w:val="0000FF"/>
                <w:spacing w:val="-10"/>
                <w:kern w:val="0"/>
                <w:sz w:val="24"/>
              </w:rPr>
              <w:t>空间布局</w:t>
            </w:r>
          </w:p>
        </w:tc>
        <w:tc>
          <w:tcPr>
            <w:tcW w:w="4195" w:type="dxa"/>
            <w:noWrap w:val="0"/>
            <w:vAlign w:val="center"/>
          </w:tcPr>
          <w:p w14:paraId="61DAADBE">
            <w:pPr>
              <w:widowControl/>
              <w:spacing w:line="0" w:lineRule="atLeast"/>
              <w:ind w:firstLine="440" w:firstLineChars="200"/>
              <w:rPr>
                <w:rFonts w:hint="eastAsia" w:ascii="仿宋" w:hAnsi="仿宋" w:eastAsia="仿宋" w:cs="仿宋"/>
                <w:color w:val="0000FF"/>
                <w:spacing w:val="-10"/>
                <w:sz w:val="24"/>
                <w:szCs w:val="24"/>
                <w:lang w:eastAsia="zh-CN"/>
              </w:rPr>
            </w:pPr>
            <w:r>
              <w:rPr>
                <w:rFonts w:hint="eastAsia" w:ascii="仿宋" w:hAnsi="仿宋" w:eastAsia="仿宋" w:cs="仿宋"/>
                <w:color w:val="0000FF"/>
                <w:spacing w:val="-10"/>
                <w:sz w:val="24"/>
                <w:szCs w:val="24"/>
                <w:lang w:eastAsia="zh-CN"/>
              </w:rPr>
              <w:t>1.企业的布局及厂址的确定应符合国家相关法律法规、产业政策以及各地方政府装备制造业和铸造行业的总体规划要求；</w:t>
            </w:r>
          </w:p>
          <w:p w14:paraId="6AAF42BD">
            <w:pPr>
              <w:widowControl/>
              <w:spacing w:line="0" w:lineRule="atLeast"/>
              <w:ind w:firstLine="440" w:firstLineChars="200"/>
              <w:rPr>
                <w:rFonts w:hint="eastAsia" w:ascii="仿宋" w:hAnsi="仿宋" w:eastAsia="仿宋" w:cs="仿宋"/>
                <w:color w:val="0000FF"/>
                <w:spacing w:val="-10"/>
                <w:sz w:val="24"/>
                <w:szCs w:val="24"/>
                <w:lang w:eastAsia="zh-CN"/>
              </w:rPr>
            </w:pPr>
            <w:r>
              <w:rPr>
                <w:rFonts w:hint="eastAsia" w:ascii="仿宋" w:hAnsi="仿宋" w:eastAsia="仿宋" w:cs="仿宋"/>
                <w:color w:val="0000FF"/>
                <w:spacing w:val="-10"/>
                <w:sz w:val="24"/>
                <w:szCs w:val="24"/>
                <w:lang w:eastAsia="zh-CN"/>
              </w:rPr>
              <w:t>2、企业规模、生产工艺、生产装备、质量控制和能源消耗、环境保护等指标要求满足《铸造企业规范条件》中相应指标要求；</w:t>
            </w:r>
          </w:p>
          <w:p w14:paraId="013FF039">
            <w:pPr>
              <w:widowControl/>
              <w:spacing w:line="0" w:lineRule="atLeast"/>
              <w:ind w:firstLine="440" w:firstLineChars="200"/>
              <w:rPr>
                <w:rFonts w:ascii="仿宋" w:hAnsi="仿宋" w:eastAsia="仿宋" w:cs="仿宋"/>
                <w:bCs/>
                <w:color w:val="0000FF"/>
                <w:spacing w:val="-10"/>
                <w:kern w:val="0"/>
                <w:sz w:val="24"/>
              </w:rPr>
            </w:pPr>
            <w:r>
              <w:rPr>
                <w:rFonts w:hint="eastAsia" w:ascii="仿宋" w:hAnsi="仿宋" w:eastAsia="仿宋" w:cs="仿宋"/>
                <w:color w:val="0000FF"/>
                <w:spacing w:val="-10"/>
                <w:sz w:val="24"/>
                <w:szCs w:val="24"/>
                <w:lang w:eastAsia="zh-CN"/>
              </w:rPr>
              <w:t>3、禁止新建《产业结构调整指导目录》中限制和淘汰类项目及设备。</w:t>
            </w:r>
          </w:p>
        </w:tc>
      </w:tr>
      <w:tr w14:paraId="5F4A1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56573604">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6CFE46C2">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25CF9A8">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197F7621">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D45FD7C">
            <w:pPr>
              <w:widowControl/>
              <w:spacing w:line="0" w:lineRule="atLeast"/>
              <w:jc w:val="center"/>
              <w:rPr>
                <w:rFonts w:ascii="仿宋" w:hAnsi="仿宋" w:eastAsia="仿宋" w:cs="仿宋"/>
                <w:bCs/>
                <w:spacing w:val="-10"/>
                <w:kern w:val="0"/>
                <w:sz w:val="24"/>
              </w:rPr>
            </w:pPr>
          </w:p>
        </w:tc>
        <w:tc>
          <w:tcPr>
            <w:tcW w:w="850" w:type="dxa"/>
            <w:noWrap w:val="0"/>
            <w:vAlign w:val="center"/>
          </w:tcPr>
          <w:p w14:paraId="3152E36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05B33BC0">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区项目严格执行区域大气污染物特别排放限值(无特别排放限值的除外)，其中钢铁、焦化、水泥分别执行《钢铁工业大气污染物超低排放标准》(DB13/2169-2018)、《炼焦化学工业大气污染物超低排放标准》(DB13/2863-2018)、《水泥工业大气污染物超低排放标准》(DB13/2167-2020)，锅炉执行《锅炉大气污染物排放限值》(DB13/5161-2020)；2、入区项目污染物排放必须满足国家、河北省、邯郸市等规定的标准要求，排放指标必须满足清洁生产指标要求(如有)；3、入区项目需满足建设项目污染物排放总量控制要求；4、危险废物收集、贮存、运输、处置、利用等须满足《</w:t>
            </w:r>
            <w:r>
              <w:rPr>
                <w:rFonts w:hint="eastAsia" w:ascii="仿宋" w:hAnsi="仿宋" w:eastAsia="仿宋" w:cs="仿宋"/>
                <w:bCs/>
                <w:spacing w:val="-10"/>
                <w:kern w:val="0"/>
                <w:sz w:val="24"/>
                <w:lang w:eastAsia="zh-CN"/>
              </w:rPr>
              <w:t>中华人民共和国固体废物污染环境防治法</w:t>
            </w:r>
            <w:r>
              <w:rPr>
                <w:rFonts w:hint="eastAsia" w:ascii="仿宋" w:hAnsi="仿宋" w:eastAsia="仿宋" w:cs="仿宋"/>
                <w:bCs/>
                <w:spacing w:val="-10"/>
                <w:kern w:val="0"/>
                <w:sz w:val="24"/>
              </w:rPr>
              <w:t>》、《危险废物收集 贮存 运输技术规范》、《危险废物贮存污染控制标准》等国家、地方相关法律法规、技术规范、标准要求；5、钢铁、水泥等“两高”项目建设要满足重点污染物排放总量控制、碳排放达峰目标、相应行业建设项目环境准入条件、环评文件审批原则要求。</w:t>
            </w:r>
          </w:p>
        </w:tc>
      </w:tr>
      <w:tr w14:paraId="5F16C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17ECAEE7">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0A6D31D4">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5E6F92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685DDD8B">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31C88E61">
            <w:pPr>
              <w:widowControl/>
              <w:spacing w:line="0" w:lineRule="atLeast"/>
              <w:jc w:val="center"/>
              <w:rPr>
                <w:rFonts w:ascii="仿宋" w:hAnsi="仿宋" w:eastAsia="仿宋" w:cs="仿宋"/>
                <w:bCs/>
                <w:spacing w:val="-10"/>
                <w:kern w:val="0"/>
                <w:sz w:val="24"/>
              </w:rPr>
            </w:pPr>
          </w:p>
        </w:tc>
        <w:tc>
          <w:tcPr>
            <w:tcW w:w="850" w:type="dxa"/>
            <w:noWrap w:val="0"/>
            <w:vAlign w:val="center"/>
          </w:tcPr>
          <w:p w14:paraId="4DC8FB38">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1361A838">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重点监管企业和工业园区周边土壤环境，定期开展监督性监测，重点监测重金属和持久性有机污染物；2.加强园区与周边敏感区生态防护设施建设；3.制定园区化学品信息管理系统，加强危废处置及管控；4.对于易导致环境风险的有毒有害和易燃易爆物质的生产、使用、排放、贮运等新建、改扩建项目，风险防控措施应满足本评价提出的环境风险管理要求。</w:t>
            </w:r>
          </w:p>
        </w:tc>
      </w:tr>
      <w:tr w14:paraId="49D71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0EF03060">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CC465F8">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D92DE8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746FBEC8">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053E7515">
            <w:pPr>
              <w:widowControl/>
              <w:spacing w:line="0" w:lineRule="atLeast"/>
              <w:jc w:val="center"/>
              <w:rPr>
                <w:rFonts w:ascii="仿宋" w:hAnsi="仿宋" w:eastAsia="仿宋" w:cs="仿宋"/>
                <w:bCs/>
                <w:spacing w:val="-10"/>
                <w:kern w:val="0"/>
                <w:sz w:val="24"/>
              </w:rPr>
            </w:pPr>
          </w:p>
        </w:tc>
        <w:tc>
          <w:tcPr>
            <w:tcW w:w="850" w:type="dxa"/>
            <w:noWrap w:val="0"/>
            <w:vAlign w:val="center"/>
          </w:tcPr>
          <w:p w14:paraId="3555B37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7FA7B59">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实施后资源和能源消耗量应满足开发区划定的土地、水、能源等主要资源能源可开发利用总量上线；2、入区项目应符合水资源管理制度的要求，通过使用地表水和回用再生水，逐年压减区域地下水开采量。</w:t>
            </w:r>
          </w:p>
        </w:tc>
      </w:tr>
      <w:tr w14:paraId="269D5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2F56AEE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ZH13048120173</w:t>
            </w:r>
          </w:p>
        </w:tc>
        <w:tc>
          <w:tcPr>
            <w:tcW w:w="567" w:type="dxa"/>
            <w:vMerge w:val="restart"/>
            <w:noWrap w:val="0"/>
            <w:vAlign w:val="center"/>
          </w:tcPr>
          <w:p w14:paraId="17DD75E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5EE8435A">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上团城镇、午汲镇、西寺庄乡</w:t>
            </w:r>
          </w:p>
        </w:tc>
        <w:tc>
          <w:tcPr>
            <w:tcW w:w="709" w:type="dxa"/>
            <w:vMerge w:val="restart"/>
            <w:noWrap w:val="0"/>
            <w:vAlign w:val="center"/>
          </w:tcPr>
          <w:p w14:paraId="029B53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重点管控单元</w:t>
            </w:r>
          </w:p>
        </w:tc>
        <w:tc>
          <w:tcPr>
            <w:tcW w:w="851" w:type="dxa"/>
            <w:vMerge w:val="restart"/>
            <w:noWrap w:val="0"/>
            <w:vAlign w:val="center"/>
          </w:tcPr>
          <w:p w14:paraId="5DECBE4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 xml:space="preserve"> 大气环境弱扩散重点管控区、大气环境高排放重点管控区、水环境工业污染重点管控区、武安市青龙山工业园区</w:t>
            </w:r>
          </w:p>
        </w:tc>
        <w:tc>
          <w:tcPr>
            <w:tcW w:w="850" w:type="dxa"/>
            <w:noWrap w:val="0"/>
            <w:vAlign w:val="center"/>
          </w:tcPr>
          <w:p w14:paraId="3B8C2920">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4324A2EB">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color w:val="auto"/>
                <w:spacing w:val="-10"/>
                <w:sz w:val="24"/>
                <w:szCs w:val="24"/>
                <w:lang w:eastAsia="zh-CN"/>
              </w:rPr>
              <w:t>1</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严格落实国家、河北省及邯郸市最新产业目录准入要求；2</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严格落实最新规划环评及其审查意见制定的环境准入要求；3</w:t>
            </w:r>
            <w:r>
              <w:rPr>
                <w:rFonts w:hint="eastAsia" w:ascii="仿宋" w:hAnsi="仿宋" w:eastAsia="仿宋" w:cs="仿宋"/>
                <w:color w:val="auto"/>
                <w:spacing w:val="-10"/>
                <w:sz w:val="24"/>
                <w:szCs w:val="24"/>
                <w:lang w:val="en-US" w:eastAsia="zh-CN"/>
              </w:rPr>
              <w:t>.</w:t>
            </w:r>
            <w:r>
              <w:rPr>
                <w:rFonts w:hint="eastAsia" w:ascii="仿宋" w:hAnsi="仿宋" w:eastAsia="仿宋" w:cs="仿宋"/>
                <w:color w:val="auto"/>
                <w:spacing w:val="-10"/>
                <w:sz w:val="24"/>
                <w:szCs w:val="24"/>
                <w:lang w:eastAsia="zh-CN"/>
              </w:rPr>
              <w:t>加强园区内村庄的保护，入区企业应该满足环境防护距离要求，合理优化平面布置，加强对临近村庄敏感目标的环境质量监测。</w:t>
            </w:r>
          </w:p>
        </w:tc>
      </w:tr>
      <w:tr w14:paraId="29C51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8C29C3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5708FA4D">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B4788A6">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271D8BA0">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5424BF9">
            <w:pPr>
              <w:widowControl/>
              <w:spacing w:line="0" w:lineRule="atLeast"/>
              <w:jc w:val="center"/>
              <w:rPr>
                <w:rFonts w:ascii="仿宋" w:hAnsi="仿宋" w:eastAsia="仿宋" w:cs="仿宋"/>
                <w:bCs/>
                <w:spacing w:val="-10"/>
                <w:kern w:val="0"/>
                <w:sz w:val="24"/>
              </w:rPr>
            </w:pPr>
          </w:p>
        </w:tc>
        <w:tc>
          <w:tcPr>
            <w:tcW w:w="850" w:type="dxa"/>
            <w:noWrap w:val="0"/>
            <w:vAlign w:val="center"/>
          </w:tcPr>
          <w:p w14:paraId="3780656D">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69D8A31">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入区项目严格执行区域大气污染物特别排放限值(无特别排放限值的除外)，其中钢铁、焦化、水泥分别执行《钢铁工业大气污染物超低排放标准》(DB13/2169-2018)、《炼焦化学工业大气污染物超低排放标准》(DB13/2863-2018)、《水泥工业大气污染物超低排放标准》(DB13/2167-2020)，锅炉执行《锅炉大气污染物排放限值》(DB13/5161-2020)；2、入区项目污染物排放必须满足国家、河北省、邯郸市等规定的标准要求，排放指标必须满足清洁生产指标要求(如有)；3、入区项目需满足建设项目污染物排放总量控制要求；4、危险废物收集、贮存、运输、处置、利用等须满足《</w:t>
            </w:r>
            <w:r>
              <w:rPr>
                <w:rFonts w:hint="eastAsia" w:ascii="仿宋" w:hAnsi="仿宋" w:eastAsia="仿宋" w:cs="仿宋"/>
                <w:bCs/>
                <w:spacing w:val="-10"/>
                <w:kern w:val="0"/>
                <w:sz w:val="24"/>
                <w:lang w:eastAsia="zh-CN"/>
              </w:rPr>
              <w:t>中华人民共和国固体废物污染环境防治法</w:t>
            </w:r>
            <w:r>
              <w:rPr>
                <w:rFonts w:hint="eastAsia" w:ascii="仿宋" w:hAnsi="仿宋" w:eastAsia="仿宋" w:cs="仿宋"/>
                <w:bCs/>
                <w:spacing w:val="-10"/>
                <w:kern w:val="0"/>
                <w:sz w:val="24"/>
              </w:rPr>
              <w:t>》、《危险废物收集 贮存 运输技术规范》、《危险废物贮存污染控制标准》等国家、地方相关法律法规、技术规范、标准要求；5、钢铁、水泥等“两高”项目建设要满足重点污染物排放总量控制、碳排放达峰目标、相应行业建设项目环境准入条件、环评文件审批原则要求。</w:t>
            </w:r>
          </w:p>
        </w:tc>
      </w:tr>
      <w:tr w14:paraId="2E4E9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29E259D">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55EB24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4E40ED4E">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491E69AF">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5F6D368">
            <w:pPr>
              <w:widowControl/>
              <w:spacing w:line="0" w:lineRule="atLeast"/>
              <w:jc w:val="center"/>
              <w:rPr>
                <w:rFonts w:ascii="仿宋" w:hAnsi="仿宋" w:eastAsia="仿宋" w:cs="仿宋"/>
                <w:bCs/>
                <w:spacing w:val="-10"/>
                <w:kern w:val="0"/>
                <w:sz w:val="24"/>
              </w:rPr>
            </w:pPr>
          </w:p>
        </w:tc>
        <w:tc>
          <w:tcPr>
            <w:tcW w:w="850" w:type="dxa"/>
            <w:noWrap w:val="0"/>
            <w:vAlign w:val="center"/>
          </w:tcPr>
          <w:p w14:paraId="37275825">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7270296">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重点监管企业和工业园区周边土壤环境，定期开展监督性监测，重点监测重金属和持久性有机污染物；2.加强园区与周边敏感区生态防护设施建设；3.制定园区化学品信息管理系统，加强危废处置及管控；4.对于易导致环境风险的有毒有害和易燃易爆物质的生产、使用、排放、贮运等新建、改扩建项目，风险防控措施应满足本评价提出的环境风险管理要求。</w:t>
            </w:r>
          </w:p>
        </w:tc>
      </w:tr>
      <w:tr w14:paraId="298D9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24DDE89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4E29244A">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0647DE11">
            <w:pPr>
              <w:widowControl/>
              <w:spacing w:line="0" w:lineRule="atLeast"/>
              <w:jc w:val="center"/>
              <w:rPr>
                <w:rFonts w:ascii="仿宋" w:hAnsi="仿宋" w:eastAsia="仿宋" w:cs="仿宋"/>
                <w:bCs/>
                <w:spacing w:val="-10"/>
                <w:kern w:val="0"/>
                <w:sz w:val="24"/>
              </w:rPr>
            </w:pPr>
          </w:p>
        </w:tc>
        <w:tc>
          <w:tcPr>
            <w:tcW w:w="709" w:type="dxa"/>
            <w:vMerge w:val="continue"/>
            <w:noWrap w:val="0"/>
            <w:vAlign w:val="center"/>
          </w:tcPr>
          <w:p w14:paraId="03DBA0AC">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9713152">
            <w:pPr>
              <w:widowControl/>
              <w:spacing w:line="0" w:lineRule="atLeast"/>
              <w:jc w:val="center"/>
              <w:rPr>
                <w:rFonts w:ascii="仿宋" w:hAnsi="仿宋" w:eastAsia="仿宋" w:cs="仿宋"/>
                <w:bCs/>
                <w:spacing w:val="-10"/>
                <w:kern w:val="0"/>
                <w:sz w:val="24"/>
              </w:rPr>
            </w:pPr>
          </w:p>
        </w:tc>
        <w:tc>
          <w:tcPr>
            <w:tcW w:w="850" w:type="dxa"/>
            <w:noWrap w:val="0"/>
            <w:vAlign w:val="center"/>
          </w:tcPr>
          <w:p w14:paraId="7851599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B011E5C">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项目实施后资源和能源消耗量应满足开发区划定的土地、水、能源等主要资源能源可开发利用总量上线；2、入区项目应符合水资源管理制度的要求，通过使用地表水和回用再生水，逐年压减区域地下水开采量。</w:t>
            </w:r>
          </w:p>
        </w:tc>
      </w:tr>
      <w:tr w14:paraId="4F21FE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restart"/>
            <w:noWrap w:val="0"/>
            <w:vAlign w:val="center"/>
          </w:tcPr>
          <w:p w14:paraId="74D744DF">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ZH13048130172</w:t>
            </w:r>
          </w:p>
        </w:tc>
        <w:tc>
          <w:tcPr>
            <w:tcW w:w="567" w:type="dxa"/>
            <w:vMerge w:val="restart"/>
            <w:noWrap w:val="0"/>
            <w:vAlign w:val="center"/>
          </w:tcPr>
          <w:p w14:paraId="1039858B">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武安市</w:t>
            </w:r>
          </w:p>
        </w:tc>
        <w:tc>
          <w:tcPr>
            <w:tcW w:w="1134" w:type="dxa"/>
            <w:vMerge w:val="restart"/>
            <w:noWrap w:val="0"/>
            <w:vAlign w:val="center"/>
          </w:tcPr>
          <w:p w14:paraId="4E129566">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北安乐乡、北安庄乡、磁山镇、大同镇、康二城镇、马家庄乡、淑村镇、武安镇、西土山镇、邑城镇</w:t>
            </w:r>
          </w:p>
        </w:tc>
        <w:tc>
          <w:tcPr>
            <w:tcW w:w="709" w:type="dxa"/>
            <w:vMerge w:val="restart"/>
            <w:noWrap w:val="0"/>
            <w:vAlign w:val="center"/>
          </w:tcPr>
          <w:p w14:paraId="34337BE3">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一般管控单元</w:t>
            </w:r>
          </w:p>
        </w:tc>
        <w:tc>
          <w:tcPr>
            <w:tcW w:w="851" w:type="dxa"/>
            <w:vMerge w:val="restart"/>
            <w:noWrap w:val="0"/>
            <w:vAlign w:val="center"/>
          </w:tcPr>
          <w:p w14:paraId="09043C7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w:t>
            </w:r>
          </w:p>
        </w:tc>
        <w:tc>
          <w:tcPr>
            <w:tcW w:w="850" w:type="dxa"/>
            <w:noWrap w:val="0"/>
            <w:vAlign w:val="center"/>
          </w:tcPr>
          <w:p w14:paraId="5526CED7">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空间布局</w:t>
            </w:r>
          </w:p>
        </w:tc>
        <w:tc>
          <w:tcPr>
            <w:tcW w:w="4195" w:type="dxa"/>
            <w:noWrap w:val="0"/>
            <w:vAlign w:val="center"/>
          </w:tcPr>
          <w:p w14:paraId="63FBFBE4">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企业的布局及厂址的确定应符合国家相关法律法规、产业政策以及各地方政府装备制造业和铸造行业的总体规划要求。2.企业规模、生产工艺、生产装备、质量控制和能源消耗、环境保护等指标要求满足《铸造企业规范条件》(T/CFA0310021-2019)中相应指标要求。3.禁止建设《产业结构调整指导目录(2019年本)》中禁止类项目及设备 (如砖瓦轮窑以及立窑、无顶轮窑、马蹄窑等土窑、普通挤砖机等）。</w:t>
            </w:r>
          </w:p>
        </w:tc>
      </w:tr>
      <w:tr w14:paraId="4B391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F4BFD52">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3CD7616">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55273D66">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14F48224">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90A1E2E">
            <w:pPr>
              <w:widowControl/>
              <w:spacing w:line="0" w:lineRule="atLeast"/>
              <w:jc w:val="center"/>
              <w:rPr>
                <w:rFonts w:ascii="仿宋" w:hAnsi="仿宋" w:eastAsia="仿宋" w:cs="仿宋"/>
                <w:bCs/>
                <w:spacing w:val="-10"/>
                <w:kern w:val="0"/>
                <w:sz w:val="24"/>
              </w:rPr>
            </w:pPr>
          </w:p>
        </w:tc>
        <w:tc>
          <w:tcPr>
            <w:tcW w:w="850" w:type="dxa"/>
            <w:noWrap w:val="0"/>
            <w:vAlign w:val="center"/>
          </w:tcPr>
          <w:p w14:paraId="64FAD144">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23"/>
                <w:kern w:val="0"/>
                <w:sz w:val="24"/>
              </w:rPr>
              <w:t>污染物排放管控</w:t>
            </w:r>
          </w:p>
        </w:tc>
        <w:tc>
          <w:tcPr>
            <w:tcW w:w="4195" w:type="dxa"/>
            <w:noWrap w:val="0"/>
            <w:vAlign w:val="center"/>
          </w:tcPr>
          <w:p w14:paraId="15E7046E">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1.确保“散乱污”企业动态清零。2.铸造工业污染物排放满足《铸造工业大气污染物排放标准》(GB39726-2020)及地方标准中相应排放限值要求。3.钢铁、水泥、平板玻璃、陶瓷、焦化、铸造行业企业料堆场按照《煤场、料场、渣场扬尘污染控制技术规范》(DB13/T2352-2016)存储要求，实现规范管理。4.砖瓦行业污染物排放满足《砖瓦工业大气污染物排放标准》（GB2962-2013）及修改单中相应排放限值要求。5.冲天炉、玻璃熔窑、以煤和煤矸石为燃料的砖瓦烧结窑、耐火材料焙烧窑(电窑除外)、炭素焙(煅)烧炉(窑)、石灰窑、和精炼炉等，原则上应纳入重点排污单位名录，安装自动监控设施。6.对涉粉状物料十大行业按照“退后十”方案中相应要求管理。7.工业炉窑污染物排放满足《工业炉窑大气污染物排放标准》(DB13/1640-2012)和《关于印发</w:t>
            </w:r>
            <w:r>
              <w:rPr>
                <w:rFonts w:hint="eastAsia" w:ascii="仿宋" w:hAnsi="仿宋" w:eastAsia="仿宋" w:cs="仿宋"/>
                <w:bCs/>
                <w:spacing w:val="-10"/>
                <w:kern w:val="0"/>
                <w:sz w:val="24"/>
                <w:lang w:eastAsia="zh-CN"/>
              </w:rPr>
              <w:t>〈河北省工业炉窑综合治理实施方案〉</w:t>
            </w:r>
            <w:r>
              <w:rPr>
                <w:rFonts w:hint="eastAsia" w:ascii="仿宋" w:hAnsi="仿宋" w:eastAsia="仿宋" w:cs="仿宋"/>
                <w:bCs/>
                <w:spacing w:val="-10"/>
                <w:kern w:val="0"/>
                <w:sz w:val="24"/>
              </w:rPr>
              <w:t>的通知》(冀环大气〔2019〕607号)及“退后十”方案中邯郸限值要求。</w:t>
            </w:r>
          </w:p>
        </w:tc>
      </w:tr>
      <w:tr w14:paraId="7BD55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4355073B">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353556AF">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2BBEADCD">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69877609">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59844B55">
            <w:pPr>
              <w:widowControl/>
              <w:spacing w:line="0" w:lineRule="atLeast"/>
              <w:jc w:val="center"/>
              <w:rPr>
                <w:rFonts w:ascii="仿宋" w:hAnsi="仿宋" w:eastAsia="仿宋" w:cs="仿宋"/>
                <w:bCs/>
                <w:spacing w:val="-10"/>
                <w:kern w:val="0"/>
                <w:sz w:val="24"/>
              </w:rPr>
            </w:pPr>
          </w:p>
        </w:tc>
        <w:tc>
          <w:tcPr>
            <w:tcW w:w="850" w:type="dxa"/>
            <w:noWrap w:val="0"/>
            <w:vAlign w:val="center"/>
          </w:tcPr>
          <w:p w14:paraId="5B4B7DA2">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环境风险防控</w:t>
            </w:r>
          </w:p>
        </w:tc>
        <w:tc>
          <w:tcPr>
            <w:tcW w:w="4195" w:type="dxa"/>
            <w:noWrap w:val="0"/>
            <w:vAlign w:val="center"/>
          </w:tcPr>
          <w:p w14:paraId="6A35D16F">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落实重金属相关行业规范条件，禁止新建落后产能项目，严禁产能严重过剩行业新增产能建设项目。禁止向涉重金属相关行业落后产能和产能过剩行业供应土地。</w:t>
            </w:r>
          </w:p>
        </w:tc>
      </w:tr>
      <w:tr w14:paraId="571E2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5" w:type="dxa"/>
            <w:vMerge w:val="continue"/>
            <w:noWrap w:val="0"/>
            <w:vAlign w:val="center"/>
          </w:tcPr>
          <w:p w14:paraId="69BDF0FA">
            <w:pPr>
              <w:widowControl/>
              <w:spacing w:line="0" w:lineRule="atLeast"/>
              <w:jc w:val="center"/>
              <w:rPr>
                <w:rFonts w:ascii="仿宋" w:hAnsi="仿宋" w:eastAsia="仿宋" w:cs="仿宋"/>
                <w:bCs/>
                <w:spacing w:val="-10"/>
                <w:kern w:val="0"/>
                <w:sz w:val="24"/>
              </w:rPr>
            </w:pPr>
          </w:p>
        </w:tc>
        <w:tc>
          <w:tcPr>
            <w:tcW w:w="567" w:type="dxa"/>
            <w:vMerge w:val="continue"/>
            <w:noWrap w:val="0"/>
            <w:vAlign w:val="center"/>
          </w:tcPr>
          <w:p w14:paraId="21F84EB3">
            <w:pPr>
              <w:widowControl/>
              <w:spacing w:line="0" w:lineRule="atLeast"/>
              <w:jc w:val="center"/>
              <w:rPr>
                <w:rFonts w:ascii="仿宋" w:hAnsi="仿宋" w:eastAsia="仿宋" w:cs="仿宋"/>
                <w:bCs/>
                <w:spacing w:val="-10"/>
                <w:kern w:val="0"/>
                <w:sz w:val="24"/>
              </w:rPr>
            </w:pPr>
          </w:p>
        </w:tc>
        <w:tc>
          <w:tcPr>
            <w:tcW w:w="1134" w:type="dxa"/>
            <w:vMerge w:val="continue"/>
            <w:noWrap w:val="0"/>
            <w:vAlign w:val="center"/>
          </w:tcPr>
          <w:p w14:paraId="73236047">
            <w:pPr>
              <w:widowControl/>
              <w:spacing w:line="0" w:lineRule="atLeast"/>
              <w:rPr>
                <w:rFonts w:ascii="仿宋" w:hAnsi="仿宋" w:eastAsia="仿宋" w:cs="仿宋"/>
                <w:bCs/>
                <w:spacing w:val="-10"/>
                <w:kern w:val="0"/>
                <w:sz w:val="24"/>
              </w:rPr>
            </w:pPr>
          </w:p>
        </w:tc>
        <w:tc>
          <w:tcPr>
            <w:tcW w:w="709" w:type="dxa"/>
            <w:vMerge w:val="continue"/>
            <w:noWrap w:val="0"/>
            <w:vAlign w:val="center"/>
          </w:tcPr>
          <w:p w14:paraId="08A38547">
            <w:pPr>
              <w:widowControl/>
              <w:spacing w:line="0" w:lineRule="atLeast"/>
              <w:jc w:val="center"/>
              <w:rPr>
                <w:rFonts w:ascii="仿宋" w:hAnsi="仿宋" w:eastAsia="仿宋" w:cs="仿宋"/>
                <w:bCs/>
                <w:spacing w:val="-10"/>
                <w:kern w:val="0"/>
                <w:sz w:val="24"/>
              </w:rPr>
            </w:pPr>
          </w:p>
        </w:tc>
        <w:tc>
          <w:tcPr>
            <w:tcW w:w="851" w:type="dxa"/>
            <w:vMerge w:val="continue"/>
            <w:noWrap w:val="0"/>
            <w:vAlign w:val="center"/>
          </w:tcPr>
          <w:p w14:paraId="78FF6074">
            <w:pPr>
              <w:widowControl/>
              <w:spacing w:line="0" w:lineRule="atLeast"/>
              <w:jc w:val="center"/>
              <w:rPr>
                <w:rFonts w:ascii="仿宋" w:hAnsi="仿宋" w:eastAsia="仿宋" w:cs="仿宋"/>
                <w:bCs/>
                <w:spacing w:val="-10"/>
                <w:kern w:val="0"/>
                <w:sz w:val="24"/>
              </w:rPr>
            </w:pPr>
          </w:p>
        </w:tc>
        <w:tc>
          <w:tcPr>
            <w:tcW w:w="850" w:type="dxa"/>
            <w:noWrap w:val="0"/>
            <w:vAlign w:val="center"/>
          </w:tcPr>
          <w:p w14:paraId="1862AD8C">
            <w:pPr>
              <w:widowControl/>
              <w:spacing w:line="0" w:lineRule="atLeast"/>
              <w:jc w:val="center"/>
              <w:rPr>
                <w:rFonts w:ascii="仿宋" w:hAnsi="仿宋" w:eastAsia="仿宋" w:cs="仿宋"/>
                <w:bCs/>
                <w:spacing w:val="-10"/>
                <w:kern w:val="0"/>
                <w:sz w:val="24"/>
              </w:rPr>
            </w:pPr>
            <w:r>
              <w:rPr>
                <w:rFonts w:hint="eastAsia" w:ascii="仿宋" w:hAnsi="仿宋" w:eastAsia="仿宋" w:cs="仿宋"/>
                <w:bCs/>
                <w:spacing w:val="-10"/>
                <w:kern w:val="0"/>
                <w:sz w:val="24"/>
              </w:rPr>
              <w:t>资源利用效率</w:t>
            </w:r>
          </w:p>
        </w:tc>
        <w:tc>
          <w:tcPr>
            <w:tcW w:w="4195" w:type="dxa"/>
            <w:noWrap w:val="0"/>
            <w:vAlign w:val="center"/>
          </w:tcPr>
          <w:p w14:paraId="2AF5AA97">
            <w:pPr>
              <w:widowControl/>
              <w:spacing w:line="0" w:lineRule="atLeast"/>
              <w:ind w:firstLine="440" w:firstLineChars="200"/>
              <w:rPr>
                <w:rFonts w:ascii="仿宋" w:hAnsi="仿宋" w:eastAsia="仿宋" w:cs="仿宋"/>
                <w:bCs/>
                <w:spacing w:val="-10"/>
                <w:kern w:val="0"/>
                <w:sz w:val="24"/>
              </w:rPr>
            </w:pPr>
            <w:r>
              <w:rPr>
                <w:rFonts w:hint="eastAsia" w:ascii="仿宋" w:hAnsi="仿宋" w:eastAsia="仿宋" w:cs="仿宋"/>
                <w:bCs/>
                <w:spacing w:val="-10"/>
                <w:kern w:val="0"/>
                <w:sz w:val="24"/>
              </w:rPr>
              <w:t>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GB30526-2019)限定值，争取达到先进值。</w:t>
            </w:r>
          </w:p>
        </w:tc>
      </w:tr>
    </w:tbl>
    <w:p w14:paraId="04020171">
      <w:pPr>
        <w:adjustRightInd w:val="0"/>
        <w:snapToGrid w:val="0"/>
        <w:spacing w:line="590" w:lineRule="exact"/>
        <w:ind w:left="210" w:leftChars="100" w:right="210" w:rightChars="100"/>
        <w:rPr>
          <w:rFonts w:ascii="仿宋" w:hAnsi="仿宋" w:eastAsia="仿宋" w:cs="仿宋"/>
          <w:snapToGrid w:val="0"/>
          <w:spacing w:val="-40"/>
          <w:kern w:val="0"/>
          <w:sz w:val="28"/>
          <w:szCs w:val="28"/>
        </w:rPr>
      </w:pPr>
    </w:p>
    <w:p w14:paraId="3E825692">
      <w:pPr>
        <w:adjustRightInd w:val="0"/>
        <w:snapToGrid w:val="0"/>
        <w:spacing w:line="590" w:lineRule="exact"/>
        <w:ind w:left="210" w:leftChars="100" w:right="210" w:rightChars="100"/>
        <w:rPr>
          <w:rFonts w:ascii="仿宋" w:hAnsi="仿宋" w:eastAsia="仿宋" w:cs="仿宋"/>
          <w:snapToGrid w:val="0"/>
          <w:spacing w:val="-40"/>
          <w:kern w:val="0"/>
          <w:sz w:val="28"/>
          <w:szCs w:val="28"/>
        </w:rPr>
      </w:pPr>
    </w:p>
    <w:p w14:paraId="0D6F62CF">
      <w:pPr>
        <w:adjustRightInd w:val="0"/>
        <w:snapToGrid w:val="0"/>
        <w:spacing w:line="590" w:lineRule="exact"/>
        <w:ind w:left="210" w:leftChars="100" w:right="210" w:rightChars="100"/>
        <w:rPr>
          <w:rFonts w:ascii="仿宋" w:hAnsi="仿宋" w:eastAsia="仿宋" w:cs="仿宋"/>
          <w:snapToGrid w:val="0"/>
          <w:spacing w:val="-23"/>
          <w:kern w:val="0"/>
        </w:rPr>
      </w:pPr>
      <w:r>
        <w:rPr>
          <w:rFonts w:hint="eastAsia" w:ascii="仿宋" w:hAnsi="仿宋" w:eastAsia="仿宋" w:cs="仿宋"/>
          <w:snapToGrid w:val="0"/>
          <w:spacing w:val="-40"/>
          <w:kern w:val="0"/>
          <w:sz w:val="28"/>
          <w:szCs w:val="28"/>
        </w:rPr>
        <w:t>邯郸市区域空间生态环境评价暨“三线一单”编制工作协调小组办公室</w:t>
      </w:r>
      <w:r>
        <w:rPr>
          <w:rFonts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15875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889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1.25pt;height:0pt;width:442.2pt;mso-position-horizontal:center;z-index:251660288;mso-width-relative:page;mso-height-relative:page;" filled="f" stroked="t" coordsize="21600,21600" o:gfxdata="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AoD51QAAAAQBAAAPAAAAAAAAAAEAIAAAACIAAABkcnMvZG93bnJldi54bWxQSwECFAAUAAAA&#10;CACHTuJAVKtGCvEBAADmAwAADgAAAAAAAAABACAAAAAkAQAAZHJzL2Uyb0RvYy54bWxQSwUGAAAA&#10;AAYABgBZAQAAhwUAAAAA&#10;">
                <v:fill on="f" focussize="0,0"/>
                <v:stroke weight="0.7pt" color="#000000" joinstyle="round"/>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425450</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889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3.5pt;height:0pt;width:442.2pt;z-index:251659264;mso-width-relative:page;mso-height-relative:page;" filled="f" stroked="t" coordsize="21600,21600" o:gfxdata="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7llc9YAAAAGAQAADwAAAAAAAAABACAAAAAiAAAAZHJzL2Rvd25yZXYueG1sUEsBAhQAFAAA&#10;AAgAh07iQPm2/UvxAQAA5gMAAA4AAAAAAAAAAQAgAAAAJQEAAGRycy9lMm9Eb2MueG1sUEsFBgAA&#10;AAAGAAYAWQEAAIgFAAAAAA==&#10;">
                <v:fill on="f" focussize="0,0"/>
                <v:stroke weight="0.7pt" color="#000000" joinstyle="round"/>
                <v:imagedata o:title=""/>
                <o:lock v:ext="edit" aspectratio="f"/>
              </v:line>
            </w:pict>
          </mc:Fallback>
        </mc:AlternateContent>
      </w:r>
      <w:r>
        <w:rPr>
          <w:rFonts w:hint="eastAsia" w:ascii="仿宋" w:hAnsi="仿宋" w:eastAsia="仿宋" w:cs="仿宋"/>
          <w:snapToGrid w:val="0"/>
          <w:spacing w:val="-23"/>
          <w:kern w:val="0"/>
          <w:sz w:val="28"/>
          <w:szCs w:val="28"/>
        </w:rPr>
        <w:t>202</w:t>
      </w:r>
      <w:r>
        <w:rPr>
          <w:rFonts w:hint="eastAsia" w:ascii="仿宋" w:hAnsi="仿宋" w:eastAsia="仿宋" w:cs="仿宋"/>
          <w:snapToGrid w:val="0"/>
          <w:spacing w:val="-23"/>
          <w:kern w:val="0"/>
          <w:sz w:val="28"/>
          <w:szCs w:val="28"/>
          <w:lang w:val="en-US" w:eastAsia="zh-CN"/>
        </w:rPr>
        <w:t>5</w:t>
      </w:r>
      <w:r>
        <w:rPr>
          <w:rFonts w:hint="eastAsia" w:ascii="仿宋" w:hAnsi="仿宋" w:eastAsia="仿宋" w:cs="仿宋"/>
          <w:snapToGrid w:val="0"/>
          <w:spacing w:val="-23"/>
          <w:kern w:val="0"/>
          <w:sz w:val="28"/>
          <w:szCs w:val="28"/>
        </w:rPr>
        <w:t>年</w:t>
      </w:r>
      <w:r>
        <w:rPr>
          <w:rFonts w:hint="eastAsia" w:ascii="仿宋" w:hAnsi="仿宋" w:eastAsia="仿宋" w:cs="仿宋"/>
          <w:snapToGrid w:val="0"/>
          <w:spacing w:val="-23"/>
          <w:kern w:val="0"/>
          <w:sz w:val="28"/>
          <w:szCs w:val="28"/>
          <w:lang w:val="en-US" w:eastAsia="zh-CN"/>
        </w:rPr>
        <w:t>4</w:t>
      </w:r>
      <w:r>
        <w:rPr>
          <w:rFonts w:hint="eastAsia" w:ascii="仿宋" w:hAnsi="仿宋" w:eastAsia="仿宋" w:cs="仿宋"/>
          <w:snapToGrid w:val="0"/>
          <w:spacing w:val="-23"/>
          <w:kern w:val="0"/>
          <w:sz w:val="28"/>
          <w:szCs w:val="28"/>
        </w:rPr>
        <w:t>月 日印发</w:t>
      </w:r>
    </w:p>
    <w:p w14:paraId="10935183">
      <w:pPr>
        <w:keepNext w:val="0"/>
        <w:keepLines w:val="0"/>
        <w:pageBreakBefore w:val="0"/>
        <w:widowControl w:val="0"/>
        <w:kinsoku/>
        <w:wordWrap/>
        <w:overflowPunct/>
        <w:topLinePunct w:val="0"/>
        <w:autoSpaceDE/>
        <w:autoSpaceDN/>
        <w:bidi w:val="0"/>
        <w:adjustRightInd/>
        <w:snapToGrid/>
        <w:ind w:firstLine="2400" w:firstLineChars="750"/>
        <w:jc w:val="center"/>
        <w:textAlignment w:val="auto"/>
        <w:rPr>
          <w:rFonts w:hint="default" w:ascii="仿宋" w:hAnsi="仿宋" w:eastAsia="仿宋" w:cs="仿宋"/>
          <w:sz w:val="32"/>
          <w:szCs w:val="40"/>
          <w:lang w:val="en-US" w:eastAsia="zh-CN"/>
        </w:rPr>
      </w:pPr>
    </w:p>
    <w:sectPr>
      <w:headerReference r:id="rId4" w:type="default"/>
      <w:footerReference r:id="rId5" w:type="default"/>
      <w:pgSz w:w="11906" w:h="16838"/>
      <w:pgMar w:top="2098" w:right="1474" w:bottom="1984" w:left="1587" w:header="851" w:footer="1304"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
    <w:altName w:val="Lucida Sans Unicode"/>
    <w:panose1 w:val="00000000000000000000"/>
    <w:charset w:val="B1"/>
    <w:family w:val="auto"/>
    <w:pitch w:val="default"/>
    <w:sig w:usb0="00000000" w:usb1="00000000" w:usb2="00000000" w:usb3="00000000" w:csb0="00000020"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9981">
    <w:pPr>
      <w:pStyle w:val="4"/>
      <w:jc w:val="center"/>
    </w:pPr>
  </w:p>
  <w:p w14:paraId="08765CA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FDBEF">
    <w:pPr>
      <w:pStyle w:val="4"/>
      <w:numPr>
        <w:ilvl w:val="0"/>
        <w:numId w:val="0"/>
      </w:numPr>
      <w:jc w:val="center"/>
      <w:rPr>
        <w:rFonts w:ascii="宋体" w:hAnsi="宋体" w:eastAsia="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6E881">
                          <w:pPr>
                            <w:pStyle w:val="4"/>
                          </w:pPr>
                          <w:r>
                            <w:t>—</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A6E881">
                    <w:pPr>
                      <w:pStyle w:val="4"/>
                    </w:pPr>
                    <w:r>
                      <w:t>—</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E3945">
    <w:pPr>
      <w:spacing w:line="1" w:lineRule="exact"/>
      <w:jc w:val="left"/>
      <w:rPr>
        <w:rFonts w:ascii="Times New Roman" w:hAnsi="Times New Roman" w:eastAsia="Times New Roman" w:cs="Times New Roman"/>
        <w:color w:val="000000"/>
        <w:kern w:val="0"/>
        <w:sz w:val="24"/>
        <w:lang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9295D"/>
    <w:rsid w:val="0BA9295D"/>
    <w:rsid w:val="1090201E"/>
    <w:rsid w:val="1A0C5387"/>
    <w:rsid w:val="1A7C1B2F"/>
    <w:rsid w:val="2DCB02A7"/>
    <w:rsid w:val="3D405E42"/>
    <w:rsid w:val="5F632EC7"/>
    <w:rsid w:val="6D056499"/>
    <w:rsid w:val="792178EA"/>
    <w:rsid w:val="7E551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rFonts w:ascii="Calibri" w:hAnsi="Calibri" w:eastAsia="宋体" w:cs="Times New Roman"/>
      <w:szCs w:val="22"/>
    </w:rPr>
  </w:style>
  <w:style w:type="paragraph" w:styleId="3">
    <w:name w:val="Plain Text"/>
    <w:basedOn w:val="1"/>
    <w:qFormat/>
    <w:uiPriority w:val="0"/>
    <w:pPr>
      <w:ind w:firstLine="720"/>
    </w:pPr>
    <w:rPr>
      <w:rFonts w:cs="仿宋_GB2312"/>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widowControl/>
      <w:spacing w:before="240" w:after="60"/>
      <w:jc w:val="center"/>
      <w:outlineLvl w:val="0"/>
    </w:pPr>
    <w:rPr>
      <w:rFonts w:ascii="Cambria" w:hAnsi="Cambria" w:eastAsia="黑体" w:cs="Times New Roman"/>
      <w:b/>
      <w:bCs/>
      <w:kern w:val="0"/>
      <w:sz w:val="36"/>
      <w:szCs w:val="32"/>
    </w:rPr>
  </w:style>
  <w:style w:type="paragraph" w:customStyle="1" w:styleId="9">
    <w:name w:val="Plain Text1"/>
    <w:basedOn w:val="1"/>
    <w:qFormat/>
    <w:uiPriority w:val="99"/>
    <w:rPr>
      <w:rFonts w:ascii="??" w:hAnsi="Courier New" w:eastAsia="Times New Roman" w:cs="Courier New"/>
      <w:szCs w:val="21"/>
      <w:lang w:bidi="he-IL"/>
    </w:rPr>
  </w:style>
  <w:style w:type="paragraph" w:customStyle="1" w:styleId="10">
    <w:name w:val="正文1"/>
    <w:basedOn w:val="1"/>
    <w:qFormat/>
    <w:uiPriority w:val="0"/>
    <w:pPr>
      <w:spacing w:line="360" w:lineRule="auto"/>
      <w:ind w:left="1260" w:leftChars="600" w:firstLine="540" w:firstLineChars="257"/>
    </w:pPr>
    <w:rPr>
      <w:rFonts w:ascii="宋体" w:hAnsi="宋体"/>
    </w:rPr>
  </w:style>
  <w:style w:type="paragraph" w:customStyle="1" w:styleId="1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2">
    <w:name w:val="a表格内容"/>
    <w:basedOn w:val="1"/>
    <w:next w:val="1"/>
    <w:qFormat/>
    <w:uiPriority w:val="0"/>
    <w:pPr>
      <w:jc w:val="center"/>
    </w:pPr>
    <w:rPr>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163</Pages>
  <Words>20298</Words>
  <Characters>21586</Characters>
  <Lines>0</Lines>
  <Paragraphs>0</Paragraphs>
  <TotalTime>47</TotalTime>
  <ScaleCrop>false</ScaleCrop>
  <LinksUpToDate>false</LinksUpToDate>
  <CharactersWithSpaces>21705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2025-04-14T07:43:00Z</dcterms:created>
  <dc:creator>吴</dc:creator>
  <cp:lastModifiedBy>晨光网络售后18531000133</cp:lastModifiedBy>
  <dcterms:modified xsi:type="dcterms:W3CDTF">2026-02-13T01:43:03Z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9B07C7D1D26A4D1DB5BD1CDF2F574194_11</vt:lpwstr>
  </property>
  <property fmtid="{D5CDD505-2E9C-101B-9397-08002B2CF9AE}" pid="4" name="KSOTemplateDocerSaveRecord">
    <vt:lpwstr>eyJoZGlkIjoiZjc4ZmZhZWMxZmY5MWYxNTQ5ZjM0NjI3NTRiZjBhMWMiLCJ1c2VySWQiOiI0MzYxMjI5NjcifQ==</vt:lpwstr>
  </property>
</Properties>
</file>